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Style w:val="6"/>
        <w:autoSpaceDE/>
        <w:autoSpaceDN/>
        <w:spacing w:beforeAutospacing="0" w:afterAutospacing="0" w:line="600" w:lineRule="exact"/>
        <w:jc w:val="center"/>
        <w:rPr>
          <w:rFonts w:ascii="宋体" w:hAnsi="宋体" w:eastAsia="宋体" w:cs="宋体"/>
          <w:b/>
          <w:snapToGrid w:val="0"/>
          <w:sz w:val="44"/>
          <w:szCs w:val="44"/>
          <w:lang w:val="en-US" w:bidi="ar-SA"/>
        </w:rPr>
      </w:pPr>
      <w:r>
        <w:rPr>
          <w:rFonts w:hint="eastAsia" w:ascii="宋体" w:hAnsi="宋体" w:eastAsia="宋体" w:cs="宋体"/>
          <w:b/>
          <w:snapToGrid w:val="0"/>
          <w:sz w:val="44"/>
          <w:szCs w:val="44"/>
          <w:lang w:val="en-US" w:bidi="ar-SA"/>
        </w:rPr>
        <w:t>东华理工大学地球物理与测控技术学院</w:t>
      </w:r>
    </w:p>
    <w:p>
      <w:pPr>
        <w:pStyle w:val="6"/>
        <w:autoSpaceDE/>
        <w:autoSpaceDN/>
        <w:spacing w:beforeAutospacing="0" w:afterAutospacing="0" w:line="600" w:lineRule="exact"/>
        <w:jc w:val="center"/>
        <w:rPr>
          <w:rFonts w:ascii="宋体" w:hAnsi="宋体" w:eastAsia="宋体" w:cs="宋体"/>
          <w:b/>
          <w:snapToGrid w:val="0"/>
          <w:sz w:val="44"/>
          <w:szCs w:val="44"/>
          <w:lang w:val="en-US" w:bidi="ar-SA"/>
        </w:rPr>
      </w:pPr>
      <w:r>
        <w:rPr>
          <w:rFonts w:hint="eastAsia" w:ascii="宋体" w:hAnsi="宋体" w:eastAsia="宋体" w:cs="宋体"/>
          <w:b/>
          <w:snapToGrid w:val="0"/>
          <w:sz w:val="44"/>
          <w:szCs w:val="44"/>
          <w:lang w:val="en-US" w:bidi="ar-SA"/>
        </w:rPr>
        <w:t>招收硕博连读博士研究生实施细则</w:t>
      </w:r>
    </w:p>
    <w:p>
      <w:pPr>
        <w:pStyle w:val="3"/>
        <w:spacing w:before="9" w:line="580" w:lineRule="exact"/>
        <w:rPr>
          <w:rFonts w:ascii="方正小标宋简体"/>
          <w:sz w:val="39"/>
        </w:rPr>
      </w:pPr>
    </w:p>
    <w:p>
      <w:pPr>
        <w:pStyle w:val="3"/>
        <w:tabs>
          <w:tab w:val="left" w:pos="1264"/>
        </w:tabs>
        <w:spacing w:before="54" w:line="580" w:lineRule="exact"/>
        <w:jc w:val="center"/>
        <w:rPr>
          <w:rFonts w:ascii="黑体" w:hAnsi="黑体" w:eastAsia="黑体"/>
        </w:rPr>
      </w:pPr>
      <w:r>
        <w:rPr>
          <w:rFonts w:hint="eastAsia" w:ascii="黑体" w:hAnsi="黑体" w:eastAsia="黑体"/>
        </w:rPr>
        <w:t>第一章 总则</w:t>
      </w:r>
    </w:p>
    <w:p>
      <w:pPr>
        <w:pStyle w:val="3"/>
        <w:spacing w:line="580" w:lineRule="exact"/>
        <w:ind w:firstLine="640" w:firstLineChars="200"/>
        <w:jc w:val="both"/>
        <w:rPr>
          <w:rFonts w:ascii="仿宋_GB2312" w:hAnsi="仿宋_GB2312" w:eastAsia="仿宋_GB2312" w:cs="仿宋_GB2312"/>
        </w:rPr>
      </w:pPr>
      <w:r>
        <w:rPr>
          <w:rFonts w:hint="eastAsia" w:ascii="仿宋_GB2312" w:hAnsi="仿宋_GB2312" w:eastAsia="仿宋_GB2312" w:cs="仿宋_GB2312"/>
        </w:rPr>
        <w:t>第一条 为深化研究生考试招生改革，探索博士研究生招生选拔机制，完善我院博士研究生招生制度，保证科学研究的连续性和有效性，提高博士研究生招生和培养质量，根据教育部有关文件精神以及</w:t>
      </w:r>
      <w:r>
        <w:rPr>
          <w:rFonts w:ascii="仿宋_GB2312" w:hAnsi="仿宋_GB2312" w:eastAsia="仿宋_GB2312" w:cs="仿宋_GB2312"/>
        </w:rPr>
        <w:t>《</w:t>
      </w:r>
      <w:r>
        <w:rPr>
          <w:rFonts w:hint="eastAsia" w:ascii="仿宋_GB2312" w:hAnsi="仿宋_GB2312" w:eastAsia="仿宋_GB2312" w:cs="仿宋_GB2312"/>
        </w:rPr>
        <w:t>东华理工大学招收硕博连读博士研究生实施办法（试行）</w:t>
      </w:r>
      <w:r>
        <w:rPr>
          <w:rFonts w:ascii="仿宋_GB2312" w:hAnsi="仿宋_GB2312" w:eastAsia="仿宋_GB2312" w:cs="仿宋_GB2312"/>
        </w:rPr>
        <w:t>》</w:t>
      </w:r>
      <w:r>
        <w:rPr>
          <w:rFonts w:hint="eastAsia" w:ascii="仿宋_GB2312" w:hAnsi="仿宋_GB2312" w:eastAsia="仿宋_GB2312" w:cs="仿宋_GB2312"/>
        </w:rPr>
        <w:t>（校政字〔2022〕号），结合我院实际，特制定本实施细则。</w:t>
      </w:r>
    </w:p>
    <w:p>
      <w:pPr>
        <w:pStyle w:val="3"/>
        <w:spacing w:line="580" w:lineRule="exact"/>
        <w:ind w:firstLine="640" w:firstLineChars="200"/>
        <w:jc w:val="both"/>
        <w:rPr>
          <w:rFonts w:ascii="仿宋_GB2312" w:hAnsi="仿宋_GB2312" w:eastAsia="仿宋_GB2312" w:cs="仿宋_GB2312"/>
        </w:rPr>
      </w:pPr>
      <w:r>
        <w:rPr>
          <w:rFonts w:hint="eastAsia" w:ascii="仿宋_GB2312" w:hAnsi="仿宋_GB2312" w:eastAsia="仿宋_GB2312" w:cs="仿宋_GB2312"/>
        </w:rPr>
        <w:t>第二条 硕博连读是指从我校已完成规定课程学习且成绩优秀，具有较强创新精神和科研能力的二年级硕士研究生中遴选攻读博士研究生的招生方式。</w:t>
      </w:r>
    </w:p>
    <w:p>
      <w:pPr>
        <w:pStyle w:val="3"/>
        <w:spacing w:line="580" w:lineRule="exact"/>
        <w:ind w:firstLine="643" w:firstLineChars="200"/>
        <w:jc w:val="both"/>
        <w:rPr>
          <w:rFonts w:ascii="仿宋_GB2312" w:eastAsia="仿宋_GB2312"/>
          <w:b w:val="0"/>
          <w:bCs w:val="0"/>
        </w:rPr>
      </w:pPr>
      <w:r>
        <w:rPr>
          <w:rFonts w:hint="eastAsia" w:ascii="仿宋_GB2312" w:hAnsi="仿宋_GB2312" w:eastAsia="仿宋_GB2312" w:cs="仿宋_GB2312"/>
          <w:b/>
        </w:rPr>
        <w:t xml:space="preserve">第三条 </w:t>
      </w:r>
      <w:r>
        <w:rPr>
          <w:rFonts w:hint="eastAsia" w:ascii="仿宋_GB2312" w:hAnsi="仿宋_GB2312" w:eastAsia="仿宋_GB2312" w:cs="仿宋_GB2312"/>
        </w:rPr>
        <w:t>硕博连</w:t>
      </w:r>
      <w:r>
        <w:rPr>
          <w:rFonts w:hint="eastAsia" w:ascii="仿宋_GB2312" w:hAnsi="仿宋_GB2312" w:eastAsia="仿宋_GB2312" w:cs="仿宋_GB2312"/>
          <w:b w:val="0"/>
          <w:bCs w:val="0"/>
        </w:rPr>
        <w:t>读</w:t>
      </w:r>
      <w:r>
        <w:rPr>
          <w:rFonts w:hint="eastAsia" w:ascii="仿宋_GB2312" w:hAnsi="仿宋_GB2312" w:eastAsia="仿宋_GB2312" w:cs="仿宋_GB2312"/>
          <w:b w:val="0"/>
          <w:bCs w:val="0"/>
          <w:color w:val="000000" w:themeColor="text1"/>
          <w14:textFill>
            <w14:solidFill>
              <w14:schemeClr w14:val="tx1"/>
            </w14:solidFill>
          </w14:textFill>
        </w:rPr>
        <w:t>名额根据学校当年分配的博士研究生招生指标，纳入当年学院博士研究生招生计划。</w:t>
      </w:r>
    </w:p>
    <w:p>
      <w:pPr>
        <w:pStyle w:val="3"/>
        <w:tabs>
          <w:tab w:val="left" w:pos="1264"/>
        </w:tabs>
        <w:spacing w:before="54" w:line="580" w:lineRule="exact"/>
        <w:jc w:val="center"/>
        <w:rPr>
          <w:rFonts w:ascii="黑体" w:hAnsi="黑体" w:eastAsia="黑体"/>
          <w:lang w:val="en-US"/>
        </w:rPr>
      </w:pPr>
      <w:r>
        <w:rPr>
          <w:rFonts w:hint="eastAsia" w:ascii="黑体" w:hAnsi="黑体" w:eastAsia="黑体"/>
        </w:rPr>
        <w:t>第二章 选拔</w:t>
      </w:r>
      <w:r>
        <w:rPr>
          <w:rFonts w:hint="eastAsia" w:ascii="黑体" w:hAnsi="黑体" w:eastAsia="黑体"/>
          <w:lang w:val="en-US"/>
        </w:rPr>
        <w:t>组织</w:t>
      </w:r>
    </w:p>
    <w:p>
      <w:pPr>
        <w:autoSpaceDE/>
        <w:autoSpaceDN/>
        <w:spacing w:line="580" w:lineRule="exact"/>
        <w:ind w:firstLine="643" w:firstLineChars="200"/>
        <w:rPr>
          <w:rFonts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14:textFill>
            <w14:solidFill>
              <w14:schemeClr w14:val="tx1"/>
            </w14:solidFill>
          </w14:textFill>
        </w:rPr>
        <w:t>第四条</w:t>
      </w:r>
      <w:r>
        <w:rPr>
          <w:rFonts w:hint="eastAsia" w:ascii="仿宋_GB2312" w:hAnsi="仿宋_GB2312" w:eastAsia="仿宋_GB2312" w:cs="仿宋_GB2312"/>
          <w:color w:val="000000" w:themeColor="text1"/>
          <w:sz w:val="32"/>
          <w:szCs w:val="32"/>
          <w:lang w:val="en-US"/>
          <w14:textFill>
            <w14:solidFill>
              <w14:schemeClr w14:val="tx1"/>
            </w14:solidFill>
          </w14:textFill>
        </w:rPr>
        <w:t xml:space="preserve"> </w:t>
      </w:r>
      <w:r>
        <w:rPr>
          <w:rFonts w:hint="eastAsia" w:ascii="仿宋_GB2312" w:hAnsi="仿宋_GB2312" w:eastAsia="仿宋_GB2312" w:cs="仿宋_GB2312"/>
          <w:b w:val="0"/>
          <w:bCs w:val="0"/>
          <w:color w:val="000000"/>
          <w:sz w:val="32"/>
          <w:szCs w:val="32"/>
        </w:rPr>
        <w:t>研究生招生工作小组</w:t>
      </w:r>
    </w:p>
    <w:p>
      <w:pPr>
        <w:spacing w:line="580" w:lineRule="exact"/>
        <w:ind w:firstLine="640" w:firstLineChars="200"/>
        <w:rPr>
          <w:rFonts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组长：学院院长</w:t>
      </w:r>
    </w:p>
    <w:p>
      <w:pPr>
        <w:spacing w:line="580" w:lineRule="exact"/>
        <w:ind w:firstLine="640" w:firstLineChars="200"/>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成员：</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学院</w:t>
      </w:r>
      <w:r>
        <w:rPr>
          <w:rFonts w:hint="eastAsia" w:ascii="仿宋_GB2312" w:hAnsi="仿宋_GB2312" w:eastAsia="仿宋_GB2312" w:cs="仿宋_GB2312"/>
          <w:b w:val="0"/>
          <w:bCs w:val="0"/>
          <w:color w:val="000000" w:themeColor="text1"/>
          <w:sz w:val="32"/>
          <w:szCs w:val="32"/>
          <w14:textFill>
            <w14:solidFill>
              <w14:schemeClr w14:val="tx1"/>
            </w14:solidFill>
          </w14:textFill>
        </w:rPr>
        <w:t>书记</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分管研究生工作副院长、学院纪委委员、</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学科和研究生办公室主任</w:t>
      </w:r>
    </w:p>
    <w:p>
      <w:pPr>
        <w:autoSpaceDE/>
        <w:autoSpaceDN/>
        <w:spacing w:line="58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14:textFill>
            <w14:solidFill>
              <w14:schemeClr w14:val="tx1"/>
            </w14:solidFill>
          </w14:textFill>
        </w:rPr>
        <w:t xml:space="preserve">第五条 </w:t>
      </w:r>
      <w:r>
        <w:rPr>
          <w:rFonts w:hint="eastAsia" w:ascii="仿宋_GB2312" w:hAnsi="仿宋_GB2312" w:eastAsia="仿宋_GB2312" w:cs="仿宋_GB2312"/>
          <w:b w:val="0"/>
          <w:bCs w:val="0"/>
          <w:color w:val="000000" w:themeColor="text1"/>
          <w:sz w:val="32"/>
          <w:szCs w:val="32"/>
          <w14:textFill>
            <w14:solidFill>
              <w14:schemeClr w14:val="tx1"/>
            </w14:solidFill>
          </w14:textFill>
        </w:rPr>
        <w:t>研究生招生工作小组负责按照学校总体方案和本实施细则组织实施学院的“</w:t>
      </w:r>
      <w:r>
        <w:rPr>
          <w:rFonts w:hint="eastAsia" w:ascii="仿宋_GB2312" w:hAnsi="仿宋_GB2312" w:eastAsia="仿宋_GB2312" w:cs="仿宋_GB2312"/>
          <w:b w:val="0"/>
          <w:bCs w:val="0"/>
          <w:color w:val="000000" w:themeColor="text1"/>
          <w:sz w:val="32"/>
          <w:szCs w:val="32"/>
          <w:lang w:val="en-US"/>
          <w14:textFill>
            <w14:solidFill>
              <w14:schemeClr w14:val="tx1"/>
            </w14:solidFill>
          </w14:textFill>
        </w:rPr>
        <w:t>硕博连读</w:t>
      </w:r>
      <w:r>
        <w:rPr>
          <w:rFonts w:hint="eastAsia" w:ascii="仿宋_GB2312" w:hAnsi="仿宋_GB2312" w:eastAsia="仿宋_GB2312" w:cs="仿宋_GB2312"/>
          <w:b w:val="0"/>
          <w:bCs w:val="0"/>
          <w:color w:val="000000" w:themeColor="text1"/>
          <w:sz w:val="32"/>
          <w:szCs w:val="32"/>
          <w14:textFill>
            <w14:solidFill>
              <w14:schemeClr w14:val="tx1"/>
            </w14:solidFill>
          </w14:textFill>
        </w:rPr>
        <w:t>”博士研究生招生。</w:t>
      </w:r>
    </w:p>
    <w:p>
      <w:pPr>
        <w:pStyle w:val="3"/>
        <w:tabs>
          <w:tab w:val="left" w:pos="1264"/>
        </w:tabs>
        <w:spacing w:before="54" w:line="580" w:lineRule="exact"/>
        <w:jc w:val="center"/>
        <w:rPr>
          <w:rFonts w:ascii="黑体" w:hAnsi="黑体" w:eastAsia="黑体"/>
        </w:rPr>
      </w:pPr>
      <w:r>
        <w:rPr>
          <w:rFonts w:hint="eastAsia" w:ascii="黑体" w:hAnsi="黑体" w:eastAsia="黑体"/>
        </w:rPr>
        <w:t>第</w:t>
      </w:r>
      <w:r>
        <w:rPr>
          <w:rFonts w:hint="eastAsia" w:ascii="黑体" w:hAnsi="黑体" w:eastAsia="黑体"/>
          <w:lang w:val="en-US"/>
        </w:rPr>
        <w:t>三</w:t>
      </w:r>
      <w:r>
        <w:rPr>
          <w:rFonts w:hint="eastAsia" w:ascii="黑体" w:hAnsi="黑体" w:eastAsia="黑体"/>
        </w:rPr>
        <w:t>章 选拔</w:t>
      </w:r>
      <w:r>
        <w:rPr>
          <w:rFonts w:hint="eastAsia" w:ascii="黑体" w:hAnsi="黑体" w:eastAsia="黑体"/>
          <w:lang w:val="en-US"/>
        </w:rPr>
        <w:t>对象及条件</w:t>
      </w:r>
    </w:p>
    <w:p>
      <w:pPr>
        <w:pStyle w:val="3"/>
        <w:tabs>
          <w:tab w:val="left" w:pos="2009"/>
        </w:tabs>
        <w:spacing w:line="580" w:lineRule="exact"/>
        <w:ind w:firstLine="643" w:firstLineChars="200"/>
        <w:rPr>
          <w:rFonts w:ascii="仿宋_GB2312" w:hAnsi="仿宋_GB2312" w:eastAsia="仿宋_GB2312" w:cs="仿宋_GB2312"/>
        </w:rPr>
      </w:pPr>
      <w:r>
        <w:rPr>
          <w:rFonts w:hint="eastAsia" w:ascii="仿宋_GB2312" w:hAnsi="仿宋_GB2312" w:eastAsia="仿宋_GB2312" w:cs="仿宋_GB2312"/>
          <w:b/>
        </w:rPr>
        <w:t>第</w:t>
      </w:r>
      <w:r>
        <w:rPr>
          <w:rFonts w:hint="eastAsia" w:ascii="仿宋_GB2312" w:hAnsi="仿宋_GB2312" w:eastAsia="仿宋_GB2312" w:cs="仿宋_GB2312"/>
          <w:b/>
          <w:lang w:val="en-US"/>
        </w:rPr>
        <w:t>六</w:t>
      </w:r>
      <w:r>
        <w:rPr>
          <w:rFonts w:hint="eastAsia" w:ascii="仿宋_GB2312" w:hAnsi="仿宋_GB2312" w:eastAsia="仿宋_GB2312" w:cs="仿宋_GB2312"/>
          <w:b/>
        </w:rPr>
        <w:t xml:space="preserve">条 </w:t>
      </w:r>
      <w:r>
        <w:rPr>
          <w:rFonts w:hint="eastAsia" w:ascii="仿宋_GB2312" w:hAnsi="仿宋_GB2312" w:eastAsia="仿宋_GB2312" w:cs="仿宋_GB2312"/>
        </w:rPr>
        <w:t>硕博连读的选拔对象为已获得学士学位，在我校以全日制非定向培养的二年级在籍优秀硕士研究生（</w:t>
      </w:r>
      <w:r>
        <w:rPr>
          <w:rFonts w:hint="eastAsia" w:ascii="仿宋_GB2312" w:hAnsi="仿宋_GB2312" w:eastAsia="仿宋_GB2312" w:cs="仿宋_GB2312"/>
          <w:lang w:val="en-US"/>
        </w:rPr>
        <w:t>原则上为学术型</w:t>
      </w:r>
      <w:r>
        <w:rPr>
          <w:rFonts w:hint="eastAsia" w:ascii="仿宋_GB2312" w:hAnsi="仿宋_GB2312" w:eastAsia="仿宋_GB2312" w:cs="仿宋_GB2312"/>
        </w:rPr>
        <w:t>）。</w:t>
      </w:r>
    </w:p>
    <w:p>
      <w:pPr>
        <w:pStyle w:val="3"/>
        <w:tabs>
          <w:tab w:val="left" w:pos="2009"/>
        </w:tabs>
        <w:spacing w:line="580" w:lineRule="exact"/>
        <w:ind w:firstLine="643" w:firstLineChars="200"/>
        <w:rPr>
          <w:rFonts w:ascii="仿宋_GB2312" w:hAnsi="仿宋_GB2312" w:eastAsia="仿宋_GB2312" w:cs="仿宋_GB2312"/>
          <w:bCs/>
          <w:lang w:val="en-US"/>
        </w:rPr>
      </w:pPr>
      <w:r>
        <w:rPr>
          <w:rFonts w:hint="eastAsia" w:ascii="仿宋_GB2312" w:hAnsi="仿宋_GB2312" w:eastAsia="仿宋_GB2312" w:cs="仿宋_GB2312"/>
          <w:b/>
        </w:rPr>
        <w:t>第</w:t>
      </w:r>
      <w:r>
        <w:rPr>
          <w:rFonts w:hint="eastAsia" w:ascii="仿宋_GB2312" w:hAnsi="仿宋_GB2312" w:eastAsia="仿宋_GB2312" w:cs="仿宋_GB2312"/>
          <w:b/>
          <w:lang w:val="en-US"/>
        </w:rPr>
        <w:t>七</w:t>
      </w:r>
      <w:r>
        <w:rPr>
          <w:rFonts w:hint="eastAsia" w:ascii="仿宋_GB2312" w:hAnsi="仿宋_GB2312" w:eastAsia="仿宋_GB2312" w:cs="仿宋_GB2312"/>
          <w:b/>
        </w:rPr>
        <w:t xml:space="preserve">条 </w:t>
      </w:r>
      <w:r>
        <w:rPr>
          <w:rFonts w:hint="eastAsia" w:ascii="仿宋_GB2312" w:hAnsi="仿宋_GB2312" w:eastAsia="仿宋_GB2312" w:cs="仿宋_GB2312"/>
          <w:bCs/>
          <w:lang w:val="en-US"/>
        </w:rPr>
        <w:t>硕士所学专业原则上应与报考专业相同，招生人数原则上不超过上一年度各专业招生计划的30%。</w:t>
      </w:r>
    </w:p>
    <w:p>
      <w:pPr>
        <w:pStyle w:val="3"/>
        <w:tabs>
          <w:tab w:val="left" w:pos="2009"/>
        </w:tabs>
        <w:spacing w:line="580" w:lineRule="exact"/>
        <w:ind w:firstLine="643" w:firstLineChars="200"/>
        <w:rPr>
          <w:rFonts w:ascii="仿宋_GB2312" w:hAnsi="仿宋_GB2312" w:eastAsia="仿宋_GB2312" w:cs="仿宋_GB2312"/>
        </w:rPr>
      </w:pPr>
      <w:r>
        <w:rPr>
          <w:rFonts w:hint="eastAsia" w:ascii="仿宋_GB2312" w:hAnsi="仿宋_GB2312" w:eastAsia="仿宋_GB2312" w:cs="仿宋_GB2312"/>
          <w:b/>
        </w:rPr>
        <w:t>第</w:t>
      </w:r>
      <w:r>
        <w:rPr>
          <w:rFonts w:hint="eastAsia" w:ascii="仿宋_GB2312" w:hAnsi="仿宋_GB2312" w:eastAsia="仿宋_GB2312" w:cs="仿宋_GB2312"/>
          <w:b/>
          <w:lang w:val="en-US"/>
        </w:rPr>
        <w:t>八</w:t>
      </w:r>
      <w:r>
        <w:rPr>
          <w:rFonts w:hint="eastAsia" w:ascii="仿宋_GB2312" w:hAnsi="仿宋_GB2312" w:eastAsia="仿宋_GB2312" w:cs="仿宋_GB2312"/>
          <w:b/>
        </w:rPr>
        <w:t xml:space="preserve">条 </w:t>
      </w:r>
      <w:r>
        <w:rPr>
          <w:rFonts w:hint="eastAsia" w:ascii="仿宋_GB2312" w:hAnsi="仿宋_GB2312" w:eastAsia="仿宋_GB2312" w:cs="仿宋_GB2312"/>
        </w:rPr>
        <w:t>申请条件</w:t>
      </w:r>
    </w:p>
    <w:p>
      <w:pPr>
        <w:pStyle w:val="11"/>
        <w:tabs>
          <w:tab w:val="left" w:pos="1057"/>
        </w:tabs>
        <w:spacing w:line="580" w:lineRule="exact"/>
        <w:ind w:left="0" w:right="0" w:firstLine="640" w:firstLineChars="200"/>
        <w:rPr>
          <w:rFonts w:ascii="仿宋_GB2312" w:hAnsi="仿宋_GB2312" w:eastAsia="仿宋_GB2312" w:cs="仿宋_GB2312"/>
          <w:sz w:val="32"/>
        </w:rPr>
      </w:pPr>
      <w:r>
        <w:rPr>
          <w:rFonts w:hint="eastAsia" w:ascii="仿宋_GB2312" w:hAnsi="仿宋_GB2312" w:eastAsia="仿宋_GB2312" w:cs="仿宋_GB2312"/>
          <w:sz w:val="32"/>
          <w:lang w:val="en-US"/>
        </w:rPr>
        <w:t>1.</w:t>
      </w:r>
      <w:r>
        <w:rPr>
          <w:rFonts w:hint="eastAsia" w:ascii="仿宋_GB2312" w:hAnsi="仿宋_GB2312" w:eastAsia="仿宋_GB2312" w:cs="仿宋_GB2312"/>
          <w:sz w:val="32"/>
        </w:rPr>
        <w:t>拥护中国共产党的领导，具有正确的政治方向，热爱祖国，愿意为社会主义现代化建设服务，遵纪守法，品行端正，身心健康，在校期间无学术不端行为，未受过处分。</w:t>
      </w:r>
    </w:p>
    <w:p>
      <w:pPr>
        <w:pStyle w:val="11"/>
        <w:tabs>
          <w:tab w:val="left" w:pos="1057"/>
        </w:tabs>
        <w:spacing w:line="580" w:lineRule="exact"/>
        <w:ind w:left="0" w:right="0" w:firstLine="640" w:firstLineChars="200"/>
        <w:rPr>
          <w:rFonts w:ascii="仿宋_GB2312" w:hAnsi="仿宋_GB2312" w:eastAsia="仿宋_GB2312" w:cs="仿宋_GB2312"/>
          <w:sz w:val="32"/>
        </w:rPr>
      </w:pPr>
      <w:r>
        <w:rPr>
          <w:rFonts w:hint="eastAsia" w:ascii="仿宋_GB2312" w:hAnsi="仿宋_GB2312" w:eastAsia="仿宋_GB2312" w:cs="仿宋_GB2312"/>
          <w:sz w:val="32"/>
          <w:lang w:val="en-US"/>
        </w:rPr>
        <w:t>2.</w:t>
      </w:r>
      <w:r>
        <w:rPr>
          <w:rFonts w:hint="eastAsia" w:ascii="仿宋_GB2312" w:hAnsi="仿宋_GB2312" w:eastAsia="仿宋_GB2312" w:cs="仿宋_GB2312"/>
          <w:sz w:val="32"/>
        </w:rPr>
        <w:t>已完成培养计划规定的课程学习和考核，学位课程平均成绩排名在本学科专业前</w:t>
      </w:r>
      <w:r>
        <w:rPr>
          <w:rFonts w:hint="eastAsia" w:ascii="仿宋_GB2312" w:hAnsi="仿宋_GB2312" w:eastAsia="仿宋_GB2312" w:cs="仿宋_GB2312"/>
          <w:sz w:val="32"/>
          <w:lang w:val="en-US"/>
        </w:rPr>
        <w:t>30</w:t>
      </w:r>
      <w:r>
        <w:rPr>
          <w:rFonts w:hint="eastAsia" w:ascii="仿宋_GB2312" w:hAnsi="仿宋_GB2312" w:eastAsia="仿宋_GB2312" w:cs="仿宋_GB2312"/>
          <w:sz w:val="32"/>
        </w:rPr>
        <w:t>%，所有课程无补考重修记录。</w:t>
      </w:r>
    </w:p>
    <w:p>
      <w:pPr>
        <w:pStyle w:val="11"/>
        <w:tabs>
          <w:tab w:val="left" w:pos="1057"/>
        </w:tabs>
        <w:spacing w:line="580" w:lineRule="exact"/>
        <w:ind w:left="0" w:right="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en-US"/>
        </w:rPr>
        <w:t>3.</w:t>
      </w:r>
      <w:r>
        <w:rPr>
          <w:rFonts w:hint="eastAsia" w:ascii="仿宋_GB2312" w:hAnsi="仿宋_GB2312" w:eastAsia="仿宋_GB2312" w:cs="仿宋_GB2312"/>
          <w:sz w:val="32"/>
          <w:szCs w:val="32"/>
        </w:rPr>
        <w:t>英语水平</w:t>
      </w:r>
      <w:r>
        <w:rPr>
          <w:rFonts w:hint="eastAsia" w:ascii="仿宋_GB2312" w:hAnsi="仿宋_GB2312" w:eastAsia="仿宋_GB2312" w:cs="仿宋_GB2312"/>
          <w:color w:val="000000" w:themeColor="text1"/>
          <w:sz w:val="32"/>
          <w:szCs w:val="32"/>
          <w14:textFill>
            <w14:solidFill>
              <w14:schemeClr w14:val="tx1"/>
            </w14:solidFill>
          </w14:textFill>
        </w:rPr>
        <w:t>须符合下列条件之一</w:t>
      </w:r>
      <w:r>
        <w:rPr>
          <w:rFonts w:hint="eastAsia" w:ascii="仿宋_GB2312" w:hAnsi="仿宋_GB2312" w:eastAsia="仿宋_GB2312" w:cs="仿宋_GB2312"/>
          <w:sz w:val="32"/>
          <w:szCs w:val="32"/>
        </w:rPr>
        <w:t>：</w:t>
      </w:r>
    </w:p>
    <w:p>
      <w:pPr>
        <w:autoSpaceDE/>
        <w:autoSpaceDN/>
        <w:spacing w:line="580" w:lineRule="exact"/>
        <w:ind w:firstLine="640" w:firstLineChars="200"/>
        <w:jc w:val="both"/>
        <w:rPr>
          <w:rFonts w:ascii="仿宋_GB2312" w:hAnsi="仿宋_GB2312" w:eastAsia="仿宋_GB2312" w:cs="仿宋_GB2312"/>
          <w:color w:val="000000" w:themeColor="text1"/>
          <w:kern w:val="2"/>
          <w:sz w:val="32"/>
          <w:szCs w:val="32"/>
          <w:lang w:val="en-US"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bidi="ar-SA"/>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大学英语</w:t>
      </w:r>
      <w:r>
        <w:rPr>
          <w:rFonts w:hint="eastAsia" w:ascii="仿宋_GB2312" w:hAnsi="仿宋_GB2312" w:eastAsia="仿宋_GB2312" w:cs="仿宋_GB2312"/>
          <w:color w:val="000000" w:themeColor="text1"/>
          <w:sz w:val="32"/>
          <w:szCs w:val="32"/>
          <w:lang w:val="en-US"/>
          <w14:textFill>
            <w14:solidFill>
              <w14:schemeClr w14:val="tx1"/>
            </w14:solidFill>
          </w14:textFill>
        </w:rPr>
        <w:t>四级</w:t>
      </w:r>
      <w:r>
        <w:rPr>
          <w:rFonts w:hint="eastAsia" w:ascii="仿宋_GB2312" w:hAnsi="仿宋_GB2312" w:eastAsia="仿宋_GB2312" w:cs="仿宋_GB2312"/>
          <w:color w:val="000000" w:themeColor="text1"/>
          <w:sz w:val="32"/>
          <w:szCs w:val="32"/>
          <w14:textFill>
            <w14:solidFill>
              <w14:schemeClr w14:val="tx1"/>
            </w14:solidFill>
          </w14:textFill>
        </w:rPr>
        <w:t>(CET-</w:t>
      </w:r>
      <w:r>
        <w:rPr>
          <w:rFonts w:hint="eastAsia" w:ascii="仿宋_GB2312" w:hAnsi="仿宋_GB2312" w:eastAsia="仿宋_GB2312" w:cs="仿宋_GB2312"/>
          <w:color w:val="000000" w:themeColor="text1"/>
          <w:sz w:val="32"/>
          <w:szCs w:val="32"/>
          <w:lang w:val="en-US"/>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14:textFill>
            <w14:solidFill>
              <w14:schemeClr w14:val="tx1"/>
            </w14:solidFill>
          </w14:textFill>
        </w:rPr>
        <w:t>成绩不低480分或</w:t>
      </w:r>
      <w:r>
        <w:rPr>
          <w:rFonts w:hint="eastAsia" w:ascii="仿宋_GB2312" w:hAnsi="仿宋_GB2312" w:eastAsia="仿宋_GB2312" w:cs="仿宋_GB2312"/>
          <w:color w:val="000000" w:themeColor="text1"/>
          <w:sz w:val="32"/>
          <w:szCs w:val="32"/>
          <w14:textFill>
            <w14:solidFill>
              <w14:schemeClr w14:val="tx1"/>
            </w14:solidFill>
          </w14:textFill>
        </w:rPr>
        <w:t>六级(CET-6)成绩不低于425分</w:t>
      </w:r>
      <w:r>
        <w:rPr>
          <w:rFonts w:hint="eastAsia" w:ascii="仿宋_GB2312" w:hAnsi="仿宋_GB2312" w:eastAsia="仿宋_GB2312" w:cs="仿宋_GB2312"/>
          <w:color w:val="000000" w:themeColor="text1"/>
          <w:kern w:val="2"/>
          <w:sz w:val="32"/>
          <w:szCs w:val="32"/>
          <w:lang w:val="en-US" w:bidi="ar-SA"/>
          <w14:textFill>
            <w14:solidFill>
              <w14:schemeClr w14:val="tx1"/>
            </w14:solidFill>
          </w14:textFill>
        </w:rPr>
        <w:t>;</w:t>
      </w:r>
    </w:p>
    <w:p>
      <w:pPr>
        <w:autoSpaceDE/>
        <w:autoSpaceDN/>
        <w:spacing w:line="580" w:lineRule="exact"/>
        <w:ind w:firstLine="640" w:firstLineChars="200"/>
        <w:jc w:val="both"/>
        <w:rPr>
          <w:rFonts w:ascii="仿宋_GB2312" w:hAnsi="仿宋_GB2312" w:eastAsia="仿宋_GB2312" w:cs="仿宋_GB2312"/>
          <w:color w:val="000000" w:themeColor="text1"/>
          <w:kern w:val="2"/>
          <w:sz w:val="32"/>
          <w:szCs w:val="32"/>
          <w:lang w:val="en-US"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bidi="ar-SA"/>
          <w14:textFill>
            <w14:solidFill>
              <w14:schemeClr w14:val="tx1"/>
            </w14:solidFill>
          </w14:textFill>
        </w:rPr>
        <w:t>（2）托福(TOEFL)成绩不低于75分;</w:t>
      </w:r>
    </w:p>
    <w:p>
      <w:pPr>
        <w:autoSpaceDE/>
        <w:autoSpaceDN/>
        <w:spacing w:line="580" w:lineRule="exact"/>
        <w:ind w:firstLine="640" w:firstLineChars="200"/>
        <w:jc w:val="both"/>
        <w:rPr>
          <w:rFonts w:ascii="仿宋_GB2312" w:hAnsi="仿宋_GB2312" w:eastAsia="仿宋_GB2312" w:cs="仿宋_GB2312"/>
          <w:color w:val="000000" w:themeColor="text1"/>
          <w:kern w:val="2"/>
          <w:sz w:val="32"/>
          <w:szCs w:val="32"/>
          <w:lang w:val="en-US"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bidi="ar-SA"/>
          <w14:textFill>
            <w14:solidFill>
              <w14:schemeClr w14:val="tx1"/>
            </w14:solidFill>
          </w14:textFill>
        </w:rPr>
        <w:t>（3）雅思(IELTS)成绩不低于6.0(单项不低于5分);</w:t>
      </w:r>
    </w:p>
    <w:p>
      <w:pPr>
        <w:autoSpaceDE/>
        <w:autoSpaceDN/>
        <w:spacing w:line="580" w:lineRule="exact"/>
        <w:ind w:firstLine="640" w:firstLineChars="200"/>
        <w:jc w:val="both"/>
        <w:rPr>
          <w:rFonts w:ascii="仿宋_GB2312" w:hAnsi="仿宋_GB2312" w:eastAsia="仿宋_GB2312" w:cs="仿宋_GB2312"/>
          <w:color w:val="000000" w:themeColor="text1"/>
          <w:kern w:val="2"/>
          <w:sz w:val="32"/>
          <w:szCs w:val="32"/>
          <w:lang w:val="en-US"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bidi="ar-SA"/>
          <w14:textFill>
            <w14:solidFill>
              <w14:schemeClr w14:val="tx1"/>
            </w14:solidFill>
          </w14:textFill>
        </w:rPr>
        <w:t>（4）全国高校英语专业考试(专业四级或专业八级)不低于60分，WSK(PETS5)不低于45分。</w:t>
      </w:r>
    </w:p>
    <w:p>
      <w:pPr>
        <w:pStyle w:val="11"/>
        <w:tabs>
          <w:tab w:val="left" w:pos="1057"/>
        </w:tabs>
        <w:spacing w:line="580" w:lineRule="exact"/>
        <w:ind w:left="0" w:right="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en-US"/>
        </w:rPr>
        <w:t>4.</w:t>
      </w:r>
      <w:r>
        <w:rPr>
          <w:rFonts w:hint="eastAsia" w:ascii="仿宋_GB2312" w:hAnsi="仿宋_GB2312" w:eastAsia="仿宋_GB2312" w:cs="仿宋_GB2312"/>
          <w:sz w:val="32"/>
          <w:szCs w:val="32"/>
        </w:rPr>
        <w:t>对学术研究有浓厚兴趣，具有较强创新精神和科研能力，在硕士学习期间业务上表现突出，具有博士研究生培养潜力，并符合以下条件之一：</w:t>
      </w:r>
    </w:p>
    <w:p>
      <w:pPr>
        <w:autoSpaceDE/>
        <w:autoSpaceDN/>
        <w:spacing w:line="580" w:lineRule="exact"/>
        <w:ind w:firstLine="640" w:firstLineChars="200"/>
        <w:jc w:val="both"/>
        <w:rPr>
          <w:rFonts w:ascii="仿宋_GB2312" w:hAnsi="仿宋_GB2312" w:eastAsia="仿宋_GB2312" w:cs="仿宋_GB2312"/>
          <w:color w:val="000000" w:themeColor="text1"/>
          <w:kern w:val="2"/>
          <w:sz w:val="32"/>
          <w:szCs w:val="32"/>
          <w:lang w:val="en-US"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bidi="ar-SA"/>
          <w14:textFill>
            <w14:solidFill>
              <w14:schemeClr w14:val="tx1"/>
            </w14:solidFill>
          </w14:textFill>
        </w:rPr>
        <w:t>（1）以</w:t>
      </w:r>
      <w:r>
        <w:rPr>
          <w:rFonts w:hint="eastAsia" w:ascii="仿宋_GB2312" w:hAnsi="仿宋_GB2312" w:eastAsia="仿宋_GB2312" w:cs="仿宋_GB2312"/>
          <w:b w:val="0"/>
          <w:bCs w:val="0"/>
          <w:color w:val="000000" w:themeColor="text1"/>
          <w:kern w:val="2"/>
          <w:sz w:val="32"/>
          <w:szCs w:val="32"/>
          <w:lang w:val="en-US" w:bidi="ar-SA"/>
          <w14:textFill>
            <w14:solidFill>
              <w14:schemeClr w14:val="tx1"/>
            </w14:solidFill>
          </w14:textFill>
        </w:rPr>
        <w:t>第一作者（或导师第一作者，申请人为第二作者）</w:t>
      </w:r>
      <w:r>
        <w:rPr>
          <w:rFonts w:hint="eastAsia" w:ascii="仿宋_GB2312" w:hAnsi="仿宋_GB2312" w:eastAsia="仿宋_GB2312" w:cs="仿宋_GB2312"/>
          <w:b w:val="0"/>
          <w:bCs w:val="0"/>
          <w:color w:val="000000" w:themeColor="text1"/>
          <w:sz w:val="32"/>
          <w:szCs w:val="32"/>
          <w:lang w:val="en-US"/>
          <w14:textFill>
            <w14:solidFill>
              <w14:schemeClr w14:val="tx1"/>
            </w14:solidFill>
          </w14:textFill>
        </w:rPr>
        <w:t>公开</w:t>
      </w:r>
      <w:r>
        <w:rPr>
          <w:rFonts w:hint="eastAsia" w:ascii="仿宋_GB2312" w:hAnsi="仿宋_GB2312" w:eastAsia="仿宋_GB2312" w:cs="仿宋_GB2312"/>
          <w:b w:val="0"/>
          <w:bCs w:val="0"/>
          <w:color w:val="000000" w:themeColor="text1"/>
          <w:kern w:val="2"/>
          <w:sz w:val="32"/>
          <w:szCs w:val="32"/>
          <w:lang w:val="en-US" w:bidi="ar-SA"/>
          <w14:textFill>
            <w14:solidFill>
              <w14:schemeClr w14:val="tx1"/>
            </w14:solidFill>
          </w14:textFill>
        </w:rPr>
        <w:t>发表与拟申请博士专业相关的</w:t>
      </w:r>
      <w:r>
        <w:rPr>
          <w:rFonts w:hint="eastAsia" w:ascii="仿宋_GB2312" w:hAnsi="仿宋_GB2312" w:eastAsia="仿宋_GB2312" w:cs="仿宋_GB2312"/>
          <w:b w:val="0"/>
          <w:bCs w:val="0"/>
          <w:color w:val="000000" w:themeColor="text1"/>
          <w:sz w:val="32"/>
          <w:szCs w:val="32"/>
          <w14:textFill>
            <w14:solidFill>
              <w14:schemeClr w14:val="tx1"/>
            </w14:solidFill>
          </w14:textFill>
        </w:rPr>
        <w:t>“T5-</w:t>
      </w:r>
      <w:r>
        <w:rPr>
          <w:rFonts w:ascii="仿宋_GB2312" w:hAnsi="仿宋_GB2312" w:eastAsia="仿宋_GB2312" w:cs="仿宋_GB2312"/>
          <w:b w:val="0"/>
          <w:bCs w:val="0"/>
          <w:color w:val="000000" w:themeColor="text1"/>
          <w:sz w:val="32"/>
          <w:szCs w:val="32"/>
          <w14:textFill>
            <w14:solidFill>
              <w14:schemeClr w14:val="tx1"/>
            </w14:solidFill>
          </w14:textFill>
        </w:rPr>
        <w:t>1</w:t>
      </w:r>
      <w:r>
        <w:rPr>
          <w:rFonts w:hint="eastAsia" w:ascii="仿宋_GB2312" w:hAnsi="仿宋_GB2312" w:eastAsia="仿宋_GB2312" w:cs="仿宋_GB2312"/>
          <w:b w:val="0"/>
          <w:bCs w:val="0"/>
          <w:color w:val="000000" w:themeColor="text1"/>
          <w:sz w:val="32"/>
          <w:szCs w:val="32"/>
          <w14:textFill>
            <w14:solidFill>
              <w14:schemeClr w14:val="tx1"/>
            </w14:solidFill>
          </w14:textFill>
        </w:rPr>
        <w:t>”及以上级别高质量期刊论文（依据《东华理工大学高质量论文期刊目录》认定）</w:t>
      </w:r>
      <w:r>
        <w:rPr>
          <w:rFonts w:hint="eastAsia" w:ascii="仿宋_GB2312" w:hAnsi="仿宋_GB2312" w:eastAsia="仿宋_GB2312" w:cs="仿宋_GB2312"/>
          <w:b w:val="0"/>
          <w:bCs w:val="0"/>
          <w:color w:val="000000" w:themeColor="text1"/>
          <w:kern w:val="2"/>
          <w:sz w:val="32"/>
          <w:szCs w:val="32"/>
          <w:lang w:val="en-US" w:bidi="ar-SA"/>
          <w14:textFill>
            <w14:solidFill>
              <w14:schemeClr w14:val="tx1"/>
            </w14:solidFill>
          </w14:textFill>
        </w:rPr>
        <w:t>1篇（见刊或在线，日期截至报名材料受理前一日）；科研上特别突出（第一作者发表T3及以上高质量论文1篇，或第一发明人授权发明专利1项，或第一完成人完成的科研成果在行业得到推广应用并取得重要影响），</w:t>
      </w:r>
      <w:r>
        <w:rPr>
          <w:rFonts w:hint="eastAsia" w:ascii="仿宋_GB2312" w:hAnsi="仿宋_GB2312" w:eastAsia="仿宋_GB2312" w:cs="仿宋_GB2312"/>
          <w:color w:val="000000" w:themeColor="text1"/>
          <w:kern w:val="2"/>
          <w:sz w:val="32"/>
          <w:szCs w:val="32"/>
          <w:lang w:val="en-US" w:bidi="ar-SA"/>
          <w14:textFill>
            <w14:solidFill>
              <w14:schemeClr w14:val="tx1"/>
            </w14:solidFill>
          </w14:textFill>
        </w:rPr>
        <w:t>可不受第八条第2点课程成绩排名限制，但各科课程考试不得有不及格或重修记录；</w:t>
      </w:r>
    </w:p>
    <w:p>
      <w:pPr>
        <w:autoSpaceDE/>
        <w:autoSpaceDN/>
        <w:spacing w:line="580" w:lineRule="exact"/>
        <w:ind w:firstLine="640" w:firstLineChars="200"/>
        <w:jc w:val="both"/>
        <w:rPr>
          <w:rFonts w:ascii="仿宋_GB2312" w:hAnsi="仿宋_GB2312" w:eastAsia="仿宋_GB2312" w:cs="仿宋_GB2312"/>
          <w:color w:val="000000" w:themeColor="text1"/>
          <w:kern w:val="2"/>
          <w:sz w:val="32"/>
          <w:szCs w:val="32"/>
          <w:lang w:val="en-US"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bidi="ar-SA"/>
          <w14:textFill>
            <w14:solidFill>
              <w14:schemeClr w14:val="tx1"/>
            </w14:solidFill>
          </w14:textFill>
        </w:rPr>
        <w:t>（2）主持承担省部级及以上科研项目，</w:t>
      </w:r>
      <w:r>
        <w:rPr>
          <w:rFonts w:hint="eastAsia" w:ascii="仿宋_GB2312" w:hAnsi="仿宋_GB2312" w:eastAsia="仿宋_GB2312" w:cs="仿宋_GB2312"/>
          <w:color w:val="000000" w:themeColor="text1"/>
          <w:sz w:val="32"/>
          <w:szCs w:val="32"/>
          <w14:textFill>
            <w14:solidFill>
              <w14:schemeClr w14:val="tx1"/>
            </w14:solidFill>
          </w14:textFill>
        </w:rPr>
        <w:t>或以主要完成者获省部级及以上科</w:t>
      </w:r>
      <w:r>
        <w:rPr>
          <w:rFonts w:hint="eastAsia" w:ascii="仿宋_GB2312" w:hAnsi="仿宋_GB2312" w:eastAsia="仿宋_GB2312" w:cs="仿宋_GB2312"/>
          <w:color w:val="000000" w:themeColor="text1"/>
          <w:sz w:val="32"/>
          <w:szCs w:val="32"/>
          <w:lang w:val="en-US"/>
          <w14:textFill>
            <w14:solidFill>
              <w14:schemeClr w14:val="tx1"/>
            </w14:solidFill>
          </w14:textFill>
        </w:rPr>
        <w:t>技</w:t>
      </w:r>
      <w:r>
        <w:rPr>
          <w:rFonts w:hint="eastAsia" w:ascii="仿宋_GB2312" w:hAnsi="仿宋_GB2312" w:eastAsia="仿宋_GB2312" w:cs="仿宋_GB2312"/>
          <w:color w:val="000000" w:themeColor="text1"/>
          <w:sz w:val="32"/>
          <w:szCs w:val="32"/>
          <w14:textFill>
            <w14:solidFill>
              <w14:schemeClr w14:val="tx1"/>
            </w14:solidFill>
          </w14:textFill>
        </w:rPr>
        <w:t>奖励（</w:t>
      </w:r>
      <w:r>
        <w:rPr>
          <w:rFonts w:hint="eastAsia" w:ascii="仿宋_GB2312" w:hAnsi="仿宋_GB2312" w:eastAsia="仿宋_GB2312" w:cs="仿宋_GB2312"/>
          <w:color w:val="000000" w:themeColor="text1"/>
          <w:sz w:val="32"/>
          <w:szCs w:val="32"/>
          <w:lang w:val="en-US"/>
          <w14:textFill>
            <w14:solidFill>
              <w14:schemeClr w14:val="tx1"/>
            </w14:solidFill>
          </w14:textFill>
        </w:rPr>
        <w:t>一等奖排名前3、二等奖排名前2、三等奖排名第1</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14:textFill>
            <w14:solidFill>
              <w14:schemeClr w14:val="tx1"/>
            </w14:solidFill>
          </w14:textFill>
        </w:rPr>
        <w:t>其中奖项仅限于自然科学奖、技术发明奖、科技进步奖和社会科学优秀成果奖</w:t>
      </w:r>
      <w:r>
        <w:rPr>
          <w:rFonts w:hint="eastAsia" w:ascii="仿宋_GB2312" w:hAnsi="仿宋_GB2312" w:eastAsia="仿宋_GB2312" w:cs="仿宋_GB2312"/>
          <w:color w:val="000000" w:themeColor="text1"/>
          <w:kern w:val="2"/>
          <w:sz w:val="32"/>
          <w:szCs w:val="32"/>
          <w:lang w:val="en-US" w:bidi="ar-SA"/>
          <w14:textFill>
            <w14:solidFill>
              <w14:schemeClr w14:val="tx1"/>
            </w14:solidFill>
          </w14:textFill>
        </w:rPr>
        <w:t>；</w:t>
      </w:r>
    </w:p>
    <w:p>
      <w:pPr>
        <w:autoSpaceDE/>
        <w:autoSpaceDN/>
        <w:spacing w:line="580" w:lineRule="exact"/>
        <w:ind w:firstLine="640" w:firstLineChars="200"/>
        <w:jc w:val="both"/>
        <w:rPr>
          <w:rFonts w:ascii="仿宋_GB2312" w:hAnsi="仿宋_GB2312" w:eastAsia="仿宋_GB2312" w:cs="仿宋_GB2312"/>
          <w:color w:val="000000" w:themeColor="text1"/>
          <w:kern w:val="2"/>
          <w:sz w:val="32"/>
          <w:szCs w:val="32"/>
          <w:lang w:val="en-US"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bidi="ar-SA"/>
          <w14:textFill>
            <w14:solidFill>
              <w14:schemeClr w14:val="tx1"/>
            </w14:solidFill>
          </w14:textFill>
        </w:rPr>
        <w:t>（3）</w:t>
      </w:r>
      <w:r>
        <w:rPr>
          <w:rFonts w:hint="eastAsia" w:ascii="仿宋_GB2312" w:hAnsi="仿宋_GB2312" w:eastAsia="仿宋_GB2312" w:cs="仿宋_GB2312"/>
          <w:color w:val="000000" w:themeColor="text1"/>
          <w:sz w:val="32"/>
          <w:szCs w:val="32"/>
          <w:lang w:val="en-US"/>
          <w14:textFill>
            <w14:solidFill>
              <w14:schemeClr w14:val="tx1"/>
            </w14:solidFill>
          </w14:textFill>
        </w:rPr>
        <w:t>公开出版与拟申请博士专业相关的</w:t>
      </w:r>
      <w:r>
        <w:rPr>
          <w:rFonts w:hint="eastAsia" w:ascii="仿宋_GB2312" w:hAnsi="仿宋_GB2312" w:eastAsia="仿宋_GB2312" w:cs="仿宋_GB2312"/>
          <w:color w:val="000000" w:themeColor="text1"/>
          <w:sz w:val="32"/>
          <w:szCs w:val="32"/>
          <w14:textFill>
            <w14:solidFill>
              <w14:schemeClr w14:val="tx1"/>
            </w14:solidFill>
          </w14:textFill>
        </w:rPr>
        <w:t>学术专著</w:t>
      </w:r>
      <w:r>
        <w:rPr>
          <w:rFonts w:hint="eastAsia" w:ascii="仿宋_GB2312" w:hAnsi="仿宋_GB2312" w:eastAsia="仿宋_GB2312" w:cs="仿宋_GB2312"/>
          <w:color w:val="000000" w:themeColor="text1"/>
          <w:sz w:val="32"/>
          <w:szCs w:val="32"/>
          <w:lang w:val="en-US"/>
          <w14:textFill>
            <w14:solidFill>
              <w14:schemeClr w14:val="tx1"/>
            </w14:solidFill>
          </w14:textFill>
        </w:rPr>
        <w:t>1部（排名前2）</w:t>
      </w:r>
      <w:r>
        <w:rPr>
          <w:rFonts w:hint="eastAsia" w:ascii="仿宋_GB2312" w:hAnsi="仿宋_GB2312" w:eastAsia="仿宋_GB2312" w:cs="仿宋_GB2312"/>
          <w:color w:val="000000" w:themeColor="text1"/>
          <w:kern w:val="2"/>
          <w:sz w:val="32"/>
          <w:szCs w:val="32"/>
          <w:lang w:val="en-US" w:bidi="ar-SA"/>
          <w14:textFill>
            <w14:solidFill>
              <w14:schemeClr w14:val="tx1"/>
            </w14:solidFill>
          </w14:textFill>
        </w:rPr>
        <w:t>;</w:t>
      </w:r>
    </w:p>
    <w:p>
      <w:pPr>
        <w:autoSpaceDE/>
        <w:autoSpaceDN/>
        <w:spacing w:line="580" w:lineRule="exact"/>
        <w:ind w:firstLine="640" w:firstLineChars="200"/>
        <w:jc w:val="both"/>
        <w:rPr>
          <w:rFonts w:ascii="仿宋_GB2312" w:hAnsi="仿宋_GB2312" w:eastAsia="仿宋_GB2312" w:cs="仿宋_GB2312"/>
          <w:color w:val="000000" w:themeColor="text1"/>
          <w:kern w:val="2"/>
          <w:sz w:val="32"/>
          <w:szCs w:val="32"/>
          <w:lang w:val="en-US"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bidi="ar-SA"/>
          <w14:textFill>
            <w14:solidFill>
              <w14:schemeClr w14:val="tx1"/>
            </w14:solidFill>
          </w14:textFill>
        </w:rPr>
        <w:t>（4）获得国家级学科竞赛（A类）二等奖以上。</w:t>
      </w:r>
    </w:p>
    <w:p>
      <w:pPr>
        <w:pStyle w:val="11"/>
        <w:tabs>
          <w:tab w:val="left" w:pos="1057"/>
        </w:tabs>
        <w:spacing w:line="580" w:lineRule="exact"/>
        <w:ind w:left="0" w:righ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rPr>
        <w:t>5.</w:t>
      </w:r>
      <w:r>
        <w:rPr>
          <w:rFonts w:hint="eastAsia" w:ascii="仿宋_GB2312" w:hAnsi="仿宋_GB2312" w:eastAsia="仿宋_GB2312" w:cs="仿宋_GB2312"/>
          <w:sz w:val="32"/>
          <w:szCs w:val="32"/>
        </w:rPr>
        <w:t>至少有两名报考学科领域内教授（或相当专业技术职称的专家）的书面推荐意见。</w:t>
      </w:r>
    </w:p>
    <w:p>
      <w:pPr>
        <w:pStyle w:val="11"/>
        <w:tabs>
          <w:tab w:val="left" w:pos="1057"/>
        </w:tabs>
        <w:spacing w:line="580" w:lineRule="exact"/>
        <w:ind w:left="0" w:right="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en-US"/>
        </w:rPr>
        <w:t>6.</w:t>
      </w:r>
      <w:r>
        <w:rPr>
          <w:rFonts w:hint="eastAsia" w:ascii="仿宋_GB2312" w:hAnsi="仿宋_GB2312" w:eastAsia="仿宋_GB2312" w:cs="仿宋_GB2312"/>
          <w:sz w:val="32"/>
          <w:szCs w:val="32"/>
        </w:rPr>
        <w:t>硕博连读研究生选拔原则上不得跨一级学科进行，如跨学科选拔，须说明两个学科之间的内在联系，以及已有的学科基础对博士阶段研究工作的支撑作用，并提供申请人在该领域的研究成果。</w:t>
      </w:r>
    </w:p>
    <w:p>
      <w:pPr>
        <w:pStyle w:val="3"/>
        <w:tabs>
          <w:tab w:val="left" w:pos="1264"/>
        </w:tabs>
        <w:spacing w:before="54" w:line="580" w:lineRule="exact"/>
        <w:jc w:val="center"/>
        <w:rPr>
          <w:rFonts w:ascii="黑体" w:hAnsi="黑体" w:eastAsia="黑体"/>
        </w:rPr>
      </w:pPr>
      <w:r>
        <w:rPr>
          <w:rFonts w:hint="eastAsia" w:ascii="黑体" w:hAnsi="黑体" w:eastAsia="黑体"/>
        </w:rPr>
        <w:t>第</w:t>
      </w:r>
      <w:r>
        <w:rPr>
          <w:rFonts w:hint="eastAsia" w:ascii="黑体" w:hAnsi="黑体" w:eastAsia="黑体"/>
          <w:lang w:val="en-US"/>
        </w:rPr>
        <w:t>四</w:t>
      </w:r>
      <w:r>
        <w:rPr>
          <w:rFonts w:hint="eastAsia" w:ascii="黑体" w:hAnsi="黑体" w:eastAsia="黑体"/>
        </w:rPr>
        <w:t>章</w:t>
      </w:r>
      <w:r>
        <w:rPr>
          <w:rFonts w:hint="eastAsia" w:ascii="黑体" w:hAnsi="黑体" w:eastAsia="黑体"/>
        </w:rPr>
        <w:tab/>
      </w:r>
      <w:r>
        <w:rPr>
          <w:rFonts w:hint="eastAsia" w:ascii="黑体" w:hAnsi="黑体" w:eastAsia="黑体"/>
        </w:rPr>
        <w:t>选拔程序及要求</w:t>
      </w:r>
    </w:p>
    <w:p>
      <w:pPr>
        <w:tabs>
          <w:tab w:val="left" w:pos="2004"/>
        </w:tabs>
        <w:spacing w:line="580" w:lineRule="exact"/>
        <w:ind w:firstLine="643" w:firstLineChars="200"/>
        <w:rPr>
          <w:rFonts w:ascii="仿宋_GB2312" w:hAnsi="仿宋_GB2312" w:eastAsia="仿宋_GB2312" w:cs="仿宋_GB2312"/>
          <w:sz w:val="32"/>
        </w:rPr>
      </w:pPr>
      <w:r>
        <w:rPr>
          <w:rFonts w:hint="eastAsia" w:ascii="仿宋_GB2312" w:hAnsi="仿宋_GB2312" w:eastAsia="仿宋_GB2312" w:cs="仿宋_GB2312"/>
          <w:b/>
          <w:sz w:val="32"/>
        </w:rPr>
        <w:t>第</w:t>
      </w:r>
      <w:r>
        <w:rPr>
          <w:rFonts w:hint="eastAsia" w:ascii="仿宋_GB2312" w:hAnsi="仿宋_GB2312" w:eastAsia="仿宋_GB2312" w:cs="仿宋_GB2312"/>
          <w:b/>
          <w:sz w:val="32"/>
          <w:lang w:val="en-US"/>
        </w:rPr>
        <w:t>九</w:t>
      </w:r>
      <w:r>
        <w:rPr>
          <w:rFonts w:hint="eastAsia" w:ascii="仿宋_GB2312" w:hAnsi="仿宋_GB2312" w:eastAsia="仿宋_GB2312" w:cs="仿宋_GB2312"/>
          <w:b/>
          <w:sz w:val="32"/>
        </w:rPr>
        <w:t xml:space="preserve">条 </w:t>
      </w:r>
      <w:r>
        <w:rPr>
          <w:rFonts w:hint="eastAsia" w:ascii="仿宋_GB2312" w:hAnsi="仿宋_GB2312" w:eastAsia="仿宋_GB2312" w:cs="仿宋_GB2312"/>
          <w:sz w:val="32"/>
        </w:rPr>
        <w:t>硕博连读的申请程序：</w:t>
      </w:r>
    </w:p>
    <w:p>
      <w:pPr>
        <w:pStyle w:val="11"/>
        <w:tabs>
          <w:tab w:val="left" w:pos="1057"/>
        </w:tabs>
        <w:autoSpaceDE/>
        <w:autoSpaceDN/>
        <w:spacing w:line="580" w:lineRule="exact"/>
        <w:ind w:left="0" w:right="0" w:firstLine="640" w:firstLineChars="200"/>
        <w:rPr>
          <w:rFonts w:ascii="仿宋_GB2312" w:hAnsi="仿宋_GB2312" w:eastAsia="仿宋_GB2312" w:cs="仿宋_GB2312"/>
          <w:sz w:val="32"/>
        </w:rPr>
      </w:pPr>
      <w:r>
        <w:rPr>
          <w:rFonts w:hint="eastAsia" w:ascii="仿宋_GB2312" w:hAnsi="仿宋_GB2312" w:eastAsia="仿宋_GB2312" w:cs="仿宋_GB2312"/>
          <w:sz w:val="32"/>
          <w:lang w:val="en-US"/>
        </w:rPr>
        <w:t>1.</w:t>
      </w:r>
      <w:r>
        <w:rPr>
          <w:rFonts w:hint="eastAsia" w:ascii="仿宋_GB2312" w:hAnsi="仿宋_GB2312" w:eastAsia="仿宋_GB2312" w:cs="仿宋_GB2312"/>
          <w:sz w:val="32"/>
          <w:szCs w:val="32"/>
        </w:rPr>
        <w:t>符合以上条件的硕士研究生本人提出申请，并填写《东华理工大学硕博连读</w:t>
      </w:r>
      <w:r>
        <w:rPr>
          <w:rFonts w:hint="eastAsia" w:ascii="仿宋_GB2312" w:hAnsi="仿宋_GB2312" w:eastAsia="仿宋_GB2312" w:cs="仿宋_GB2312"/>
          <w:sz w:val="32"/>
          <w:szCs w:val="32"/>
          <w:lang w:val="en-US"/>
        </w:rPr>
        <w:t>方式攻读博士学位研究生</w:t>
      </w:r>
      <w:r>
        <w:rPr>
          <w:rFonts w:hint="eastAsia" w:ascii="仿宋_GB2312" w:hAnsi="仿宋_GB2312" w:eastAsia="仿宋_GB2312" w:cs="仿宋_GB2312"/>
          <w:sz w:val="32"/>
          <w:szCs w:val="32"/>
        </w:rPr>
        <w:t>申请表》。</w:t>
      </w:r>
    </w:p>
    <w:p>
      <w:pPr>
        <w:pStyle w:val="11"/>
        <w:tabs>
          <w:tab w:val="left" w:pos="1057"/>
        </w:tabs>
        <w:spacing w:line="580" w:lineRule="exact"/>
        <w:ind w:left="0" w:righ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lang w:val="en-US"/>
        </w:rPr>
        <w:t>2.</w:t>
      </w:r>
      <w:r>
        <w:rPr>
          <w:rFonts w:hint="eastAsia" w:ascii="仿宋_GB2312" w:hAnsi="仿宋_GB2312" w:eastAsia="仿宋_GB2312" w:cs="仿宋_GB2312"/>
          <w:sz w:val="32"/>
          <w:szCs w:val="32"/>
        </w:rPr>
        <w:t>提交报考当年东华理工大学博士研究生招生简章规定的其他材料及业绩清单。</w:t>
      </w:r>
    </w:p>
    <w:p>
      <w:pPr>
        <w:pStyle w:val="11"/>
        <w:tabs>
          <w:tab w:val="left" w:pos="1057"/>
        </w:tabs>
        <w:spacing w:line="580" w:lineRule="exact"/>
        <w:ind w:left="0" w:righ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lang w:val="en-US"/>
        </w:rPr>
        <w:t>3.</w:t>
      </w:r>
      <w:r>
        <w:rPr>
          <w:rFonts w:hint="eastAsia" w:ascii="仿宋_GB2312" w:hAnsi="仿宋_GB2312" w:eastAsia="仿宋_GB2312" w:cs="仿宋_GB2312"/>
          <w:sz w:val="32"/>
          <w:szCs w:val="32"/>
        </w:rPr>
        <w:t>学院对申请者材料进行初审，初审通过后报研究生院培养科进行成绩审核。</w:t>
      </w:r>
    </w:p>
    <w:p>
      <w:pPr>
        <w:pStyle w:val="11"/>
        <w:tabs>
          <w:tab w:val="left" w:pos="1057"/>
        </w:tabs>
        <w:spacing w:line="580" w:lineRule="exact"/>
        <w:ind w:left="0" w:right="0"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sz w:val="32"/>
          <w:lang w:val="en-US"/>
        </w:rPr>
        <w:t>4.</w:t>
      </w:r>
      <w:r>
        <w:rPr>
          <w:rFonts w:hint="eastAsia" w:ascii="仿宋_GB2312" w:hAnsi="仿宋_GB2312" w:eastAsia="仿宋_GB2312" w:cs="仿宋_GB2312"/>
          <w:sz w:val="32"/>
          <w:szCs w:val="32"/>
        </w:rPr>
        <w:t>审核通过后，学院成立以博士生导师为主的综合考核</w:t>
      </w:r>
      <w:r>
        <w:rPr>
          <w:rFonts w:hint="eastAsia" w:ascii="仿宋_GB2312" w:hAnsi="仿宋_GB2312" w:eastAsia="仿宋_GB2312" w:cs="仿宋_GB2312"/>
          <w:sz w:val="32"/>
          <w:szCs w:val="32"/>
          <w:lang w:val="en-US"/>
        </w:rPr>
        <w:t>专家组</w:t>
      </w:r>
      <w:r>
        <w:rPr>
          <w:rFonts w:hint="eastAsia" w:ascii="仿宋_GB2312" w:hAnsi="仿宋_GB2312" w:eastAsia="仿宋_GB2312" w:cs="仿宋_GB2312"/>
          <w:sz w:val="32"/>
          <w:szCs w:val="32"/>
        </w:rPr>
        <w:t>（由不少于5名具有教授或相当职称的本学科专家组成），对初选者作全面考核，确定推荐人选。综合考核</w:t>
      </w:r>
      <w:r>
        <w:rPr>
          <w:rFonts w:hint="eastAsia" w:ascii="仿宋_GB2312" w:hAnsi="仿宋_GB2312" w:eastAsia="仿宋_GB2312" w:cs="仿宋_GB2312"/>
          <w:sz w:val="32"/>
          <w:szCs w:val="32"/>
          <w:lang w:val="en-US"/>
        </w:rPr>
        <w:t>满</w:t>
      </w:r>
      <w:r>
        <w:rPr>
          <w:rFonts w:hint="eastAsia" w:ascii="仿宋_GB2312" w:hAnsi="仿宋_GB2312" w:eastAsia="仿宋_GB2312" w:cs="仿宋_GB2312"/>
          <w:sz w:val="32"/>
          <w:szCs w:val="32"/>
        </w:rPr>
        <w:t>分为100分，</w:t>
      </w:r>
      <w:r>
        <w:rPr>
          <w:rFonts w:hint="eastAsia" w:ascii="仿宋_GB2312" w:hAnsi="仿宋_GB2312" w:eastAsia="仿宋_GB2312" w:cs="仿宋_GB2312"/>
          <w:b w:val="0"/>
          <w:bCs w:val="0"/>
          <w:sz w:val="32"/>
          <w:szCs w:val="32"/>
        </w:rPr>
        <w:t>考核内容包括思想道德品质、专业能力、科研水平、创新能力及外语水平等，采取面试方式进行。考核环节全程录音录像。</w:t>
      </w:r>
    </w:p>
    <w:p>
      <w:pPr>
        <w:pStyle w:val="11"/>
        <w:tabs>
          <w:tab w:val="left" w:pos="1057"/>
        </w:tabs>
        <w:spacing w:line="580" w:lineRule="exact"/>
        <w:ind w:left="0" w:righ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lang w:val="en-US"/>
        </w:rPr>
        <w:t>5.</w:t>
      </w:r>
      <w:r>
        <w:rPr>
          <w:rFonts w:hint="eastAsia" w:ascii="仿宋_GB2312" w:hAnsi="仿宋_GB2312" w:eastAsia="仿宋_GB2312" w:cs="仿宋_GB2312"/>
          <w:sz w:val="32"/>
          <w:szCs w:val="32"/>
        </w:rPr>
        <w:t>研究生招生工作小组根据本学院硕博连读研究生的指标，结合申请者的综合考核成绩、思想政治素质和品德考核结论等，研究确定硕博连读研究生名单，并在学院网站显著位置进行公示，公示期不少于3个工作日。公示无异议后</w:t>
      </w:r>
      <w:r>
        <w:rPr>
          <w:rFonts w:hint="eastAsia" w:ascii="仿宋_GB2312" w:hAnsi="仿宋_GB2312" w:eastAsia="仿宋_GB2312" w:cs="仿宋_GB2312"/>
          <w:sz w:val="32"/>
          <w:szCs w:val="32"/>
          <w:lang w:val="en-US"/>
        </w:rPr>
        <w:t>将</w:t>
      </w:r>
      <w:r>
        <w:rPr>
          <w:rFonts w:hint="eastAsia" w:ascii="仿宋_GB2312" w:hAnsi="仿宋_GB2312" w:eastAsia="仿宋_GB2312" w:cs="仿宋_GB2312"/>
          <w:sz w:val="32"/>
          <w:szCs w:val="32"/>
        </w:rPr>
        <w:t>相关材料报送研究生院。</w:t>
      </w:r>
    </w:p>
    <w:p>
      <w:pPr>
        <w:pStyle w:val="11"/>
        <w:tabs>
          <w:tab w:val="left" w:pos="1057"/>
        </w:tabs>
        <w:spacing w:line="580" w:lineRule="exact"/>
        <w:ind w:left="0" w:right="0"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val="en-US"/>
          <w14:textFill>
            <w14:solidFill>
              <w14:schemeClr w14:val="tx1"/>
            </w14:solidFill>
          </w14:textFill>
        </w:rPr>
        <w:t>十</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b/>
          <w:bCs/>
          <w:color w:val="000000" w:themeColor="text1"/>
          <w:sz w:val="32"/>
          <w:szCs w:val="32"/>
          <w:lang w:val="en-US"/>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以硕博连读招生方式</w:t>
      </w:r>
      <w:r>
        <w:rPr>
          <w:rFonts w:hint="eastAsia" w:ascii="仿宋_GB2312" w:hAnsi="仿宋_GB2312" w:eastAsia="仿宋_GB2312" w:cs="仿宋_GB2312"/>
          <w:color w:val="000000" w:themeColor="text1"/>
          <w:sz w:val="32"/>
          <w:szCs w:val="32"/>
          <w:lang w:val="en-US"/>
          <w14:textFill>
            <w14:solidFill>
              <w14:schemeClr w14:val="tx1"/>
            </w14:solidFill>
          </w14:textFill>
        </w:rPr>
        <w:t>拟录取的研究</w:t>
      </w:r>
      <w:r>
        <w:rPr>
          <w:rFonts w:hint="eastAsia" w:ascii="仿宋_GB2312" w:hAnsi="仿宋_GB2312" w:eastAsia="仿宋_GB2312" w:cs="仿宋_GB2312"/>
          <w:color w:val="000000" w:themeColor="text1"/>
          <w:sz w:val="32"/>
          <w:szCs w:val="32"/>
          <w14:textFill>
            <w14:solidFill>
              <w14:schemeClr w14:val="tx1"/>
            </w14:solidFill>
          </w14:textFill>
        </w:rPr>
        <w:t>生，在拟录取时必须确定指导教师，且一旦确定，不得更改；无指导教师接收者，不予录取。</w:t>
      </w:r>
    </w:p>
    <w:p>
      <w:pPr>
        <w:pStyle w:val="3"/>
        <w:tabs>
          <w:tab w:val="left" w:pos="1264"/>
        </w:tabs>
        <w:spacing w:before="54" w:line="580" w:lineRule="exact"/>
        <w:jc w:val="center"/>
        <w:rPr>
          <w:rFonts w:ascii="黑体" w:hAnsi="黑体" w:eastAsia="黑体"/>
        </w:rPr>
      </w:pPr>
      <w:r>
        <w:rPr>
          <w:rFonts w:hint="eastAsia" w:ascii="黑体" w:hAnsi="黑体" w:eastAsia="黑体"/>
        </w:rPr>
        <w:t>第</w:t>
      </w:r>
      <w:r>
        <w:rPr>
          <w:rFonts w:hint="eastAsia" w:ascii="黑体" w:hAnsi="黑体" w:eastAsia="黑体"/>
          <w:lang w:val="en-US"/>
        </w:rPr>
        <w:t>五</w:t>
      </w:r>
      <w:r>
        <w:rPr>
          <w:rFonts w:hint="eastAsia" w:ascii="黑体" w:hAnsi="黑体" w:eastAsia="黑体"/>
        </w:rPr>
        <w:t>章</w:t>
      </w:r>
      <w:r>
        <w:rPr>
          <w:rFonts w:hint="eastAsia" w:ascii="黑体" w:hAnsi="黑体" w:eastAsia="黑体"/>
        </w:rPr>
        <w:tab/>
      </w:r>
      <w:r>
        <w:rPr>
          <w:rFonts w:hint="eastAsia" w:ascii="黑体" w:hAnsi="黑体" w:eastAsia="黑体"/>
        </w:rPr>
        <w:t>其他</w:t>
      </w:r>
    </w:p>
    <w:p>
      <w:pPr>
        <w:autoSpaceDE/>
        <w:autoSpaceDN/>
        <w:spacing w:line="58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14:textFill>
            <w14:solidFill>
              <w14:schemeClr w14:val="tx1"/>
            </w14:solidFill>
          </w14:textFill>
        </w:rPr>
        <w:t>第十一条</w:t>
      </w:r>
      <w:r>
        <w:rPr>
          <w:rFonts w:hint="eastAsia" w:ascii="仿宋_GB2312" w:hAnsi="仿宋_GB2312" w:eastAsia="仿宋_GB2312" w:cs="仿宋_GB2312"/>
          <w:color w:val="000000" w:themeColor="text1"/>
          <w:sz w:val="32"/>
          <w:szCs w:val="32"/>
          <w:lang w:val="en-US"/>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监督机制</w:t>
      </w:r>
    </w:p>
    <w:p>
      <w:pPr>
        <w:spacing w:line="580" w:lineRule="exact"/>
        <w:ind w:firstLine="640" w:firstLineChars="200"/>
        <w:jc w:val="both"/>
        <w:rPr>
          <w:rFonts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硕博连读”博士招生工作坚持公平、公正、公开的原则，严格做到程序透明，操作规范，结果公正。学院设立招生违规举报电话及邮箱，并由学院纪委委员全程监督博士招生过程，并按照有关规定对相关申诉和举报进行及时调查处理。经查属实的招生违规行为，属于考生的问题(如提供虚假材料)，将取消其录取资格；属于导师的问题，将视情节轻重，取消该导师当年乃至以后的招生资格。</w:t>
      </w:r>
    </w:p>
    <w:p>
      <w:pPr>
        <w:pStyle w:val="3"/>
        <w:autoSpaceDE/>
        <w:autoSpaceDN/>
        <w:spacing w:line="580" w:lineRule="exact"/>
        <w:ind w:firstLine="643" w:firstLineChars="200"/>
        <w:jc w:val="both"/>
        <w:rPr>
          <w:rFonts w:ascii="仿宋_GB2312" w:hAnsi="仿宋_GB2312" w:eastAsia="仿宋_GB2312" w:cs="仿宋_GB2312"/>
        </w:rPr>
      </w:pPr>
      <w:r>
        <w:rPr>
          <w:rFonts w:hint="eastAsia" w:ascii="仿宋_GB2312" w:hAnsi="仿宋_GB2312" w:eastAsia="仿宋_GB2312" w:cs="仿宋_GB2312"/>
          <w:b/>
        </w:rPr>
        <w:t>第</w:t>
      </w:r>
      <w:r>
        <w:rPr>
          <w:rFonts w:hint="eastAsia" w:ascii="仿宋_GB2312" w:hAnsi="仿宋_GB2312" w:eastAsia="仿宋_GB2312" w:cs="仿宋_GB2312"/>
          <w:b/>
          <w:lang w:val="en-US"/>
        </w:rPr>
        <w:t>十二</w:t>
      </w:r>
      <w:r>
        <w:rPr>
          <w:rFonts w:hint="eastAsia" w:ascii="仿宋_GB2312" w:hAnsi="仿宋_GB2312" w:eastAsia="仿宋_GB2312" w:cs="仿宋_GB2312"/>
          <w:b/>
        </w:rPr>
        <w:t>条</w:t>
      </w:r>
      <w:r>
        <w:rPr>
          <w:rFonts w:hint="eastAsia" w:ascii="仿宋_GB2312" w:hAnsi="仿宋_GB2312" w:eastAsia="仿宋_GB2312" w:cs="仿宋_GB2312"/>
          <w:b/>
          <w:lang w:val="en-US"/>
        </w:rPr>
        <w:t xml:space="preserve"> </w:t>
      </w:r>
      <w:r>
        <w:rPr>
          <w:rFonts w:hint="eastAsia" w:ascii="仿宋_GB2312" w:hAnsi="仿宋_GB2312" w:eastAsia="仿宋_GB2312" w:cs="仿宋_GB2312"/>
        </w:rPr>
        <w:t>录取为硕博连读的研究生不需参加当年度博士生公开招考入学考试，但须在“中国研究生招生信息网博士网上报名系统”报名，</w:t>
      </w:r>
      <w:r>
        <w:rPr>
          <w:rFonts w:hint="eastAsia" w:ascii="仿宋_GB2312" w:hAnsi="仿宋_GB2312" w:eastAsia="仿宋_GB2312" w:cs="仿宋_GB2312"/>
          <w:lang w:val="en-US"/>
        </w:rPr>
        <w:t>报名</w:t>
      </w:r>
      <w:r>
        <w:rPr>
          <w:rFonts w:hint="eastAsia" w:ascii="仿宋_GB2312" w:hAnsi="仿宋_GB2312" w:eastAsia="仿宋_GB2312" w:cs="仿宋_GB2312"/>
        </w:rPr>
        <w:t>时考试方式必须选择“硕博连读”。</w:t>
      </w:r>
    </w:p>
    <w:p>
      <w:pPr>
        <w:pStyle w:val="3"/>
        <w:autoSpaceDE/>
        <w:autoSpaceDN/>
        <w:spacing w:line="580" w:lineRule="exact"/>
        <w:ind w:firstLine="643" w:firstLineChars="200"/>
        <w:jc w:val="both"/>
        <w:rPr>
          <w:rFonts w:ascii="仿宋_GB2312" w:hAnsi="仿宋_GB2312" w:eastAsia="仿宋_GB2312" w:cs="仿宋_GB2312"/>
        </w:rPr>
      </w:pPr>
      <w:r>
        <w:rPr>
          <w:rFonts w:hint="eastAsia" w:ascii="仿宋_GB2312" w:hAnsi="仿宋_GB2312" w:eastAsia="仿宋_GB2312" w:cs="仿宋_GB2312"/>
          <w:b/>
        </w:rPr>
        <w:t>第十</w:t>
      </w:r>
      <w:r>
        <w:rPr>
          <w:rFonts w:hint="eastAsia" w:ascii="仿宋_GB2312" w:hAnsi="仿宋_GB2312" w:eastAsia="仿宋_GB2312" w:cs="仿宋_GB2312"/>
          <w:b/>
          <w:lang w:val="en-US"/>
        </w:rPr>
        <w:t>三</w:t>
      </w:r>
      <w:r>
        <w:rPr>
          <w:rFonts w:hint="eastAsia" w:ascii="仿宋_GB2312" w:hAnsi="仿宋_GB2312" w:eastAsia="仿宋_GB2312" w:cs="仿宋_GB2312"/>
          <w:b/>
        </w:rPr>
        <w:t xml:space="preserve">条 </w:t>
      </w:r>
      <w:r>
        <w:rPr>
          <w:rFonts w:hint="eastAsia" w:ascii="仿宋_GB2312" w:hAnsi="仿宋_GB2312" w:eastAsia="仿宋_GB2312" w:cs="仿宋_GB2312"/>
        </w:rPr>
        <w:t>以硕博连读方式录取的博士研究生在规定学制内修业期满，完成规定的课程学习和博士学位论文，符合我校博士学位授予规定，将授予博士学位，不再颁发硕士毕业证</w:t>
      </w:r>
      <w:r>
        <w:rPr>
          <w:rFonts w:hint="eastAsia" w:ascii="仿宋_GB2312" w:hAnsi="仿宋_GB2312" w:eastAsia="仿宋_GB2312" w:cs="仿宋_GB2312"/>
          <w:b w:val="0"/>
          <w:bCs w:val="0"/>
        </w:rPr>
        <w:t>书及学位证书；若无法完成博士学位论文答辩，经学院学位委员会认定</w:t>
      </w:r>
      <w:r>
        <w:rPr>
          <w:rFonts w:hint="eastAsia" w:ascii="仿宋_GB2312" w:hAnsi="仿宋_GB2312" w:eastAsia="仿宋_GB2312" w:cs="仿宋_GB2312"/>
        </w:rPr>
        <w:t>不再适合继续攻博，可转入硕士阶段培养，通过硕士论文答辩后，依据学校有关规定授予硕士学位。</w:t>
      </w:r>
    </w:p>
    <w:p>
      <w:pPr>
        <w:pStyle w:val="3"/>
        <w:autoSpaceDE/>
        <w:autoSpaceDN/>
        <w:spacing w:line="580" w:lineRule="exact"/>
        <w:ind w:firstLine="643" w:firstLineChars="200"/>
        <w:jc w:val="both"/>
        <w:rPr>
          <w:rFonts w:ascii="仿宋_GB2312" w:hAnsi="仿宋_GB2312" w:eastAsia="仿宋_GB2312" w:cs="仿宋_GB2312"/>
        </w:rPr>
      </w:pPr>
      <w:r>
        <w:rPr>
          <w:rFonts w:hint="eastAsia" w:ascii="仿宋_GB2312" w:hAnsi="仿宋_GB2312" w:eastAsia="仿宋_GB2312" w:cs="仿宋_GB2312"/>
          <w:b/>
        </w:rPr>
        <w:t>第十</w:t>
      </w:r>
      <w:r>
        <w:rPr>
          <w:rFonts w:hint="eastAsia" w:ascii="仿宋_GB2312" w:hAnsi="仿宋_GB2312" w:eastAsia="仿宋_GB2312" w:cs="仿宋_GB2312"/>
          <w:b/>
          <w:lang w:val="en-US"/>
        </w:rPr>
        <w:t>四</w:t>
      </w:r>
      <w:r>
        <w:rPr>
          <w:rFonts w:hint="eastAsia" w:ascii="仿宋_GB2312" w:hAnsi="仿宋_GB2312" w:eastAsia="仿宋_GB2312" w:cs="仿宋_GB2312"/>
          <w:b/>
        </w:rPr>
        <w:t>条</w:t>
      </w:r>
      <w:r>
        <w:rPr>
          <w:rFonts w:hint="eastAsia" w:ascii="仿宋_GB2312" w:hAnsi="仿宋_GB2312" w:eastAsia="仿宋_GB2312" w:cs="仿宋_GB2312"/>
        </w:rPr>
        <w:t xml:space="preserve"> 硕博连读研究生的学制从硕士研究生入学开始算起，基本学习年限为六年，最长不超过八年。</w:t>
      </w:r>
    </w:p>
    <w:p>
      <w:pPr>
        <w:autoSpaceDE/>
        <w:autoSpaceDN/>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color w:val="000000" w:themeColor="text1"/>
          <w:sz w:val="32"/>
          <w:szCs w:val="32"/>
          <w:lang w:val="en-US"/>
          <w14:textFill>
            <w14:solidFill>
              <w14:schemeClr w14:val="tx1"/>
            </w14:solidFill>
          </w14:textFill>
        </w:rPr>
        <w:t>第十五条</w:t>
      </w:r>
      <w:r>
        <w:rPr>
          <w:rFonts w:hint="eastAsia" w:ascii="仿宋_GB2312" w:hAnsi="仿宋_GB2312" w:eastAsia="仿宋_GB2312" w:cs="仿宋_GB2312"/>
          <w:color w:val="000000" w:themeColor="text1"/>
          <w:sz w:val="32"/>
          <w:szCs w:val="32"/>
          <w:lang w:val="en-US"/>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本办法若与国家法律、法规、规范和上级有关政策不符，以国家法律、法规、规范和上级有关政策为准。</w:t>
      </w:r>
    </w:p>
    <w:p>
      <w:pPr>
        <w:autoSpaceDE/>
        <w:autoSpaceDN/>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val="en-US"/>
        </w:rPr>
        <w:t>六</w:t>
      </w:r>
      <w:r>
        <w:rPr>
          <w:rFonts w:hint="eastAsia" w:ascii="仿宋_GB2312" w:hAnsi="仿宋_GB2312" w:eastAsia="仿宋_GB2312" w:cs="仿宋_GB2312"/>
          <w:b/>
          <w:sz w:val="32"/>
          <w:szCs w:val="32"/>
        </w:rPr>
        <w:t xml:space="preserve">条 </w:t>
      </w:r>
      <w:r>
        <w:rPr>
          <w:rFonts w:hint="eastAsia" w:ascii="仿宋_GB2312" w:hAnsi="仿宋_GB2312" w:eastAsia="仿宋_GB2312" w:cs="仿宋_GB2312"/>
          <w:color w:val="000000" w:themeColor="text1"/>
          <w:sz w:val="32"/>
          <w:szCs w:val="32"/>
          <w14:textFill>
            <w14:solidFill>
              <w14:schemeClr w14:val="tx1"/>
            </w14:solidFill>
          </w14:textFill>
        </w:rPr>
        <w:t>本办法自颁布之日起执行，</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学院</w:t>
      </w:r>
      <w:r>
        <w:rPr>
          <w:rFonts w:hint="eastAsia" w:ascii="仿宋_GB2312" w:hAnsi="仿宋_GB2312" w:eastAsia="仿宋_GB2312" w:cs="仿宋_GB2312"/>
          <w:sz w:val="32"/>
          <w:szCs w:val="32"/>
        </w:rPr>
        <w:t>研究生招生工作小组负责解释。</w:t>
      </w:r>
    </w:p>
    <w:p>
      <w:pPr>
        <w:autoSpaceDE/>
        <w:autoSpaceDN/>
        <w:spacing w:line="580" w:lineRule="exact"/>
        <w:ind w:firstLine="640" w:firstLineChars="200"/>
        <w:rPr>
          <w:rFonts w:hint="eastAsia" w:ascii="仿宋_GB2312" w:hAnsi="仿宋_GB2312" w:eastAsia="仿宋_GB2312" w:cs="仿宋_GB2312"/>
          <w:sz w:val="32"/>
          <w:szCs w:val="32"/>
        </w:rPr>
      </w:pPr>
    </w:p>
    <w:p>
      <w:pPr>
        <w:autoSpaceDE/>
        <w:autoSpaceDN/>
        <w:spacing w:line="58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报考条件、报名方式、网上报名时间、材料提交清单</w:t>
      </w:r>
      <w:bookmarkStart w:id="0" w:name="_GoBack"/>
      <w:bookmarkEnd w:id="0"/>
      <w:r>
        <w:rPr>
          <w:rFonts w:hint="eastAsia" w:ascii="仿宋_GB2312" w:hAnsi="仿宋_GB2312" w:eastAsia="仿宋_GB2312" w:cs="仿宋_GB2312"/>
          <w:sz w:val="32"/>
          <w:szCs w:val="32"/>
          <w:lang w:val="en-US" w:eastAsia="zh-CN"/>
        </w:rPr>
        <w:t>和其他说明详见《东华理工大学2023年攻读博士学位研究生招生简章》</w:t>
      </w:r>
      <w:r>
        <w:rPr>
          <w:rFonts w:hint="eastAsia" w:ascii="仿宋_GB2312" w:hAnsi="仿宋_GB2312" w:eastAsia="仿宋_GB2312" w:cs="仿宋_GB2312"/>
          <w:sz w:val="21"/>
          <w:szCs w:val="21"/>
          <w:lang w:val="en-US" w:eastAsia="zh-CN"/>
        </w:rPr>
        <w:t>（https://yjsy.ecut.edu.cn/9c/0a/c427a105482/page.htm）</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32"/>
          <w:szCs w:val="32"/>
          <w:lang w:val="en-US" w:eastAsia="zh-CN"/>
        </w:rPr>
        <w:t>申请地球物理与测控技术学院的博士研究生可通过以下方式咨询、提交材料及申诉：</w:t>
      </w:r>
    </w:p>
    <w:p>
      <w:pPr>
        <w:numPr>
          <w:ilvl w:val="0"/>
          <w:numId w:val="1"/>
        </w:numPr>
        <w:autoSpaceDE/>
        <w:autoSpaceDN/>
        <w:spacing w:line="58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咨询、材料接收</w:t>
      </w:r>
    </w:p>
    <w:p>
      <w:pPr>
        <w:numPr>
          <w:ilvl w:val="0"/>
          <w:numId w:val="0"/>
        </w:numPr>
        <w:autoSpaceDE/>
        <w:autoSpaceDN/>
        <w:spacing w:line="58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联系人：张红静</w:t>
      </w:r>
    </w:p>
    <w:p>
      <w:pPr>
        <w:autoSpaceDE/>
        <w:autoSpaceDN/>
        <w:spacing w:line="58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联系电话：0791-83897743</w:t>
      </w:r>
    </w:p>
    <w:p>
      <w:pPr>
        <w:autoSpaceDE/>
        <w:autoSpaceDN/>
        <w:spacing w:line="58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联系邮箱：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"mailto:zhj0605@ecut.edu.cn"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zhj0605@ecut.edu.cn</w:t>
      </w:r>
      <w:r>
        <w:rPr>
          <w:rFonts w:hint="eastAsia" w:ascii="仿宋_GB2312" w:hAnsi="仿宋_GB2312" w:eastAsia="仿宋_GB2312" w:cs="仿宋_GB2312"/>
          <w:sz w:val="32"/>
          <w:szCs w:val="32"/>
          <w:lang w:val="en-US" w:eastAsia="zh-CN"/>
        </w:rPr>
        <w:fldChar w:fldCharType="end"/>
      </w:r>
    </w:p>
    <w:p>
      <w:pPr>
        <w:autoSpaceDE/>
        <w:autoSpaceDN/>
        <w:spacing w:line="58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通讯地址：江西省南昌市经开区广兰大道418号地学楼B505</w:t>
      </w:r>
    </w:p>
    <w:p>
      <w:pPr>
        <w:autoSpaceDE/>
        <w:autoSpaceDN/>
        <w:spacing w:line="580" w:lineRule="exact"/>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（2）申诉</w:t>
      </w:r>
    </w:p>
    <w:p>
      <w:pPr>
        <w:autoSpaceDE/>
        <w:autoSpaceDN/>
        <w:spacing w:line="58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纪检委员：崔燕娟</w:t>
      </w:r>
    </w:p>
    <w:p>
      <w:pPr>
        <w:autoSpaceDE/>
        <w:autoSpaceDN/>
        <w:spacing w:line="58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联系电话：0791-83897287</w:t>
      </w:r>
    </w:p>
    <w:p>
      <w:pPr>
        <w:autoSpaceDE/>
        <w:autoSpaceDN/>
        <w:spacing w:line="580" w:lineRule="exact"/>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联系邮箱：200160027@ecut.edu.cn</w:t>
      </w:r>
    </w:p>
    <w:p>
      <w:pPr>
        <w:autoSpaceDE/>
        <w:autoSpaceDN/>
        <w:spacing w:line="580" w:lineRule="exact"/>
        <w:ind w:firstLine="640" w:firstLineChars="200"/>
        <w:jc w:val="both"/>
        <w:rPr>
          <w:rFonts w:hint="eastAsia" w:ascii="仿宋_GB2312" w:hAnsi="仿宋_GB2312" w:eastAsia="仿宋_GB2312" w:cs="仿宋_GB2312"/>
          <w:sz w:val="32"/>
          <w:szCs w:val="32"/>
          <w:lang w:val="en-US" w:eastAsia="zh-CN"/>
        </w:rPr>
      </w:pPr>
    </w:p>
    <w:p>
      <w:pPr>
        <w:autoSpaceDE/>
        <w:autoSpaceDN/>
        <w:spacing w:line="580" w:lineRule="exact"/>
        <w:ind w:firstLine="640" w:firstLineChars="200"/>
        <w:jc w:val="both"/>
        <w:rPr>
          <w:rFonts w:hint="default" w:ascii="仿宋_GB2312" w:hAnsi="仿宋_GB2312" w:eastAsia="仿宋_GB2312" w:cs="仿宋_GB2312"/>
          <w:sz w:val="32"/>
          <w:szCs w:val="32"/>
          <w:lang w:val="en-US" w:eastAsia="zh-CN"/>
        </w:rPr>
      </w:pPr>
    </w:p>
    <w:sectPr>
      <w:footerReference r:id="rId3" w:type="default"/>
      <w:footerReference r:id="rId4" w:type="even"/>
      <w:pgSz w:w="11910" w:h="16840"/>
      <w:pgMar w:top="1440" w:right="1803" w:bottom="1440" w:left="1803" w:header="0" w:footer="1553" w:gutter="0"/>
      <w:cols w:space="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14935" cy="461010"/>
              <wp:effectExtent l="0" t="0" r="254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114935" cy="461010"/>
                      </a:xfrm>
                      <a:prstGeom prst="rect">
                        <a:avLst/>
                      </a:prstGeom>
                      <a:noFill/>
                      <a:ln>
                        <a:noFill/>
                      </a:ln>
                    </wps:spPr>
                    <wps:txbx>
                      <w:txbxContent>
                        <w:sdt>
                          <w:sdtPr>
                            <w:id w:val="361097347"/>
                          </w:sdtPr>
                          <w:sdtEndPr>
                            <w:rPr>
                              <w:sz w:val="28"/>
                              <w:szCs w:val="28"/>
                            </w:rPr>
                          </w:sdtEndPr>
                          <w:sdtContent>
                            <w:p>
                              <w:pPr>
                                <w:pStyle w:val="4"/>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rPr>
                                <w:t>5</w:t>
                              </w:r>
                              <w:r>
                                <w:rPr>
                                  <w:sz w:val="28"/>
                                  <w:szCs w:val="28"/>
                                </w:rPr>
                                <w:fldChar w:fldCharType="end"/>
                              </w:r>
                            </w:p>
                          </w:sdtContent>
                        </w:sdt>
                        <w:p>
                          <w:pPr>
                            <w:rPr>
                              <w:sz w:val="28"/>
                              <w:szCs w:val="28"/>
                            </w:rPr>
                          </w:pP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36.3pt;width:9.05pt;mso-position-horizontal:outside;mso-position-horizontal-relative:margin;mso-wrap-style:none;z-index:251659264;mso-width-relative:page;mso-height-relative:page;" filled="f" stroked="f" coordsize="21600,21600" o:gfxdata="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spRx2dAAAAADAQAADwAAAAAAAAABACAAAAAiAAAAZHJzL2Rvd25yZXYueG1sUEsBAhQAFAAA&#10;AAgAh07iQIEdETb3AQAAAQQAAA4AAAAAAAAAAQAgAAAAHwEAAGRycy9lMm9Eb2MueG1sUEsFBgAA&#10;AAAGAAYAWQEAAIgFAAAAAA==&#10;">
              <v:fill on="f" focussize="0,0"/>
              <v:stroke on="f"/>
              <v:imagedata o:title=""/>
              <o:lock v:ext="edit" aspectratio="f"/>
              <v:textbox inset="0mm,0mm,0mm,0mm" style="mso-fit-shape-to-text:t;">
                <w:txbxContent>
                  <w:sdt>
                    <w:sdtPr>
                      <w:id w:val="361097347"/>
                    </w:sdtPr>
                    <w:sdtEndPr>
                      <w:rPr>
                        <w:sz w:val="28"/>
                        <w:szCs w:val="28"/>
                      </w:rPr>
                    </w:sdtEndPr>
                    <w:sdtContent>
                      <w:p>
                        <w:pPr>
                          <w:pStyle w:val="4"/>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rPr>
                          <w:t>5</w:t>
                        </w:r>
                        <w:r>
                          <w:rPr>
                            <w:sz w:val="28"/>
                            <w:szCs w:val="28"/>
                          </w:rPr>
                          <w:fldChar w:fldCharType="end"/>
                        </w:r>
                      </w:p>
                    </w:sdtContent>
                  </w:sdt>
                  <w:p>
                    <w:pPr>
                      <w:rPr>
                        <w:sz w:val="28"/>
                        <w:szCs w:val="28"/>
                      </w:rPr>
                    </w:pPr>
                  </w:p>
                </w:txbxContent>
              </v:textbox>
            </v:shape>
          </w:pict>
        </mc:Fallback>
      </mc:AlternateContent>
    </w:r>
  </w:p>
  <w:p>
    <w:pPr>
      <w:pStyle w:val="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14935" cy="461010"/>
              <wp:effectExtent l="0" t="0" r="254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114935" cy="461010"/>
                      </a:xfrm>
                      <a:prstGeom prst="rect">
                        <a:avLst/>
                      </a:prstGeom>
                      <a:noFill/>
                      <a:ln>
                        <a:noFill/>
                      </a:ln>
                    </wps:spPr>
                    <wps:txbx>
                      <w:txbxContent>
                        <w:sdt>
                          <w:sdtPr>
                            <w:id w:val="1291163936"/>
                          </w:sdtPr>
                          <w:sdtEndPr>
                            <w:rPr>
                              <w:sz w:val="28"/>
                              <w:szCs w:val="28"/>
                            </w:rPr>
                          </w:sdtEndPr>
                          <w:sdtContent>
                            <w:p>
                              <w:pPr>
                                <w:pStyle w:val="4"/>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rPr>
                                <w:t>4</w:t>
                              </w:r>
                              <w:r>
                                <w:rPr>
                                  <w:sz w:val="28"/>
                                  <w:szCs w:val="28"/>
                                </w:rPr>
                                <w:fldChar w:fldCharType="end"/>
                              </w:r>
                            </w:p>
                          </w:sdtContent>
                        </w:sdt>
                        <w:p>
                          <w:pPr>
                            <w:rPr>
                              <w:sz w:val="28"/>
                              <w:szCs w:val="28"/>
                            </w:rPr>
                          </w:pP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36.3pt;width:9.05pt;mso-position-horizontal:outside;mso-position-horizontal-relative:margin;mso-wrap-style:none;z-index:251660288;mso-width-relative:page;mso-height-relative:page;" filled="f" stroked="f" coordsize="21600,21600" o:gfxdata="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ylHHZ0AAAAAMBAAAPAAAAAAAAAAEAIAAAACIAAABkcnMvZG93bnJldi54bWxQSwECFAAU&#10;AAAACACHTuJARc+8DfkBAAABBAAADgAAAAAAAAABACAAAAAfAQAAZHJzL2Uyb0RvYy54bWxQSwUG&#10;AAAAAAYABgBZAQAAigUAAAAA&#10;">
              <v:fill on="f" focussize="0,0"/>
              <v:stroke on="f"/>
              <v:imagedata o:title=""/>
              <o:lock v:ext="edit" aspectratio="f"/>
              <v:textbox inset="0mm,0mm,0mm,0mm" style="mso-fit-shape-to-text:t;">
                <w:txbxContent>
                  <w:sdt>
                    <w:sdtPr>
                      <w:id w:val="1291163936"/>
                    </w:sdtPr>
                    <w:sdtEndPr>
                      <w:rPr>
                        <w:sz w:val="28"/>
                        <w:szCs w:val="28"/>
                      </w:rPr>
                    </w:sdtEndPr>
                    <w:sdtContent>
                      <w:p>
                        <w:pPr>
                          <w:pStyle w:val="4"/>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rPr>
                          <w:t>4</w:t>
                        </w:r>
                        <w:r>
                          <w:rPr>
                            <w:sz w:val="28"/>
                            <w:szCs w:val="28"/>
                          </w:rPr>
                          <w:fldChar w:fldCharType="end"/>
                        </w:r>
                      </w:p>
                    </w:sdtContent>
                  </w:sdt>
                  <w:p>
                    <w:pPr>
                      <w:rPr>
                        <w:sz w:val="28"/>
                        <w:szCs w:val="28"/>
                      </w:rPr>
                    </w:pPr>
                  </w:p>
                </w:txbxContent>
              </v:textbox>
            </v:shape>
          </w:pict>
        </mc:Fallback>
      </mc:AlternateContent>
    </w:r>
  </w:p>
  <w:p>
    <w:pPr>
      <w:pStyle w:val="3"/>
      <w:spacing w:line="14" w:lineRule="auto"/>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453D40"/>
    <w:multiLevelType w:val="singleLevel"/>
    <w:tmpl w:val="73453D4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isplayBackgroundShape w:val="1"/>
  <w:bordersDoNotSurroundHeader w:val="0"/>
  <w:bordersDoNotSurroundFooter w:val="0"/>
  <w:documentProtection w:enforcement="0"/>
  <w:defaultTabStop w:val="720"/>
  <w:evenAndOddHeaders w:val="1"/>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kxZjcwNjdlMWY5ZGZmYWJkNjZiNjU4MjE2NTFmNmMifQ=="/>
  </w:docVars>
  <w:rsids>
    <w:rsidRoot w:val="00913B7D"/>
    <w:rsid w:val="00003214"/>
    <w:rsid w:val="00037EE9"/>
    <w:rsid w:val="00076C67"/>
    <w:rsid w:val="001101EF"/>
    <w:rsid w:val="0013186A"/>
    <w:rsid w:val="00156E58"/>
    <w:rsid w:val="0018333B"/>
    <w:rsid w:val="00184A84"/>
    <w:rsid w:val="001B1139"/>
    <w:rsid w:val="001B6C6F"/>
    <w:rsid w:val="00210621"/>
    <w:rsid w:val="002272F2"/>
    <w:rsid w:val="002909F3"/>
    <w:rsid w:val="002C0120"/>
    <w:rsid w:val="0031158C"/>
    <w:rsid w:val="00317C96"/>
    <w:rsid w:val="00331127"/>
    <w:rsid w:val="003311D1"/>
    <w:rsid w:val="00471AC7"/>
    <w:rsid w:val="00475163"/>
    <w:rsid w:val="00492490"/>
    <w:rsid w:val="004C43D3"/>
    <w:rsid w:val="004E76A4"/>
    <w:rsid w:val="005226B6"/>
    <w:rsid w:val="0054763A"/>
    <w:rsid w:val="005852CE"/>
    <w:rsid w:val="005C065A"/>
    <w:rsid w:val="005E7E8E"/>
    <w:rsid w:val="00627FAF"/>
    <w:rsid w:val="006361E4"/>
    <w:rsid w:val="00666C34"/>
    <w:rsid w:val="006C2859"/>
    <w:rsid w:val="007114C3"/>
    <w:rsid w:val="007506EC"/>
    <w:rsid w:val="007655A1"/>
    <w:rsid w:val="00767600"/>
    <w:rsid w:val="007B3C0D"/>
    <w:rsid w:val="007C576A"/>
    <w:rsid w:val="007D3DD4"/>
    <w:rsid w:val="007E6761"/>
    <w:rsid w:val="007F2D5D"/>
    <w:rsid w:val="00856D98"/>
    <w:rsid w:val="00862A29"/>
    <w:rsid w:val="00870E8B"/>
    <w:rsid w:val="008A5057"/>
    <w:rsid w:val="00907C08"/>
    <w:rsid w:val="00913B7D"/>
    <w:rsid w:val="009326F8"/>
    <w:rsid w:val="009E2272"/>
    <w:rsid w:val="009F23F1"/>
    <w:rsid w:val="009F6B2F"/>
    <w:rsid w:val="00A13BB0"/>
    <w:rsid w:val="00A45112"/>
    <w:rsid w:val="00A601BA"/>
    <w:rsid w:val="00A64AB5"/>
    <w:rsid w:val="00A65BF4"/>
    <w:rsid w:val="00AD2B9A"/>
    <w:rsid w:val="00AD3283"/>
    <w:rsid w:val="00AF4D74"/>
    <w:rsid w:val="00B10396"/>
    <w:rsid w:val="00B76998"/>
    <w:rsid w:val="00B90BE4"/>
    <w:rsid w:val="00BA0655"/>
    <w:rsid w:val="00BB4C85"/>
    <w:rsid w:val="00BD7181"/>
    <w:rsid w:val="00BE7DB9"/>
    <w:rsid w:val="00BF03CF"/>
    <w:rsid w:val="00C1057D"/>
    <w:rsid w:val="00D05F4C"/>
    <w:rsid w:val="00D351B9"/>
    <w:rsid w:val="00D55BE2"/>
    <w:rsid w:val="00D649CD"/>
    <w:rsid w:val="00DA2FA4"/>
    <w:rsid w:val="00DA4198"/>
    <w:rsid w:val="00DE2CDE"/>
    <w:rsid w:val="00DF2429"/>
    <w:rsid w:val="00E07FA0"/>
    <w:rsid w:val="00E32E44"/>
    <w:rsid w:val="00EC0D61"/>
    <w:rsid w:val="00EC65D0"/>
    <w:rsid w:val="00EE637B"/>
    <w:rsid w:val="00F27C3C"/>
    <w:rsid w:val="00F650E8"/>
    <w:rsid w:val="00F81E8A"/>
    <w:rsid w:val="00F847FC"/>
    <w:rsid w:val="015D09C1"/>
    <w:rsid w:val="02815A27"/>
    <w:rsid w:val="02871BB1"/>
    <w:rsid w:val="034259EC"/>
    <w:rsid w:val="03465822"/>
    <w:rsid w:val="03B93FEC"/>
    <w:rsid w:val="04105EA2"/>
    <w:rsid w:val="041425DA"/>
    <w:rsid w:val="053C2300"/>
    <w:rsid w:val="06167EA8"/>
    <w:rsid w:val="06191CA7"/>
    <w:rsid w:val="08391991"/>
    <w:rsid w:val="086D6940"/>
    <w:rsid w:val="08762705"/>
    <w:rsid w:val="08F15DEB"/>
    <w:rsid w:val="0AC9605E"/>
    <w:rsid w:val="0C65136A"/>
    <w:rsid w:val="0C8E2D78"/>
    <w:rsid w:val="0D6E071F"/>
    <w:rsid w:val="0E002353"/>
    <w:rsid w:val="0F601A19"/>
    <w:rsid w:val="10C76E2B"/>
    <w:rsid w:val="11A532D2"/>
    <w:rsid w:val="11F03E8D"/>
    <w:rsid w:val="13555157"/>
    <w:rsid w:val="13B9118C"/>
    <w:rsid w:val="14092BAA"/>
    <w:rsid w:val="143F0797"/>
    <w:rsid w:val="149463AA"/>
    <w:rsid w:val="14A3531F"/>
    <w:rsid w:val="14C85F92"/>
    <w:rsid w:val="14DA1C8A"/>
    <w:rsid w:val="159B0C9F"/>
    <w:rsid w:val="15C3425D"/>
    <w:rsid w:val="15D85784"/>
    <w:rsid w:val="15FA0A52"/>
    <w:rsid w:val="161D1B33"/>
    <w:rsid w:val="17AE1CB6"/>
    <w:rsid w:val="18F75878"/>
    <w:rsid w:val="191C1469"/>
    <w:rsid w:val="19957D02"/>
    <w:rsid w:val="1A7C5DB5"/>
    <w:rsid w:val="1A8F17E2"/>
    <w:rsid w:val="1AB91BC7"/>
    <w:rsid w:val="1B1F1F6A"/>
    <w:rsid w:val="1BB72BDC"/>
    <w:rsid w:val="1BCE12EF"/>
    <w:rsid w:val="1BF74D9E"/>
    <w:rsid w:val="1C601CFC"/>
    <w:rsid w:val="1D731F0D"/>
    <w:rsid w:val="1DA376A1"/>
    <w:rsid w:val="1EA21EC6"/>
    <w:rsid w:val="1ECF44C6"/>
    <w:rsid w:val="1F0B4718"/>
    <w:rsid w:val="1F3A2B07"/>
    <w:rsid w:val="1FC61152"/>
    <w:rsid w:val="20915D94"/>
    <w:rsid w:val="22342FBD"/>
    <w:rsid w:val="22A26FCE"/>
    <w:rsid w:val="23331DED"/>
    <w:rsid w:val="233555DA"/>
    <w:rsid w:val="2483022C"/>
    <w:rsid w:val="24B332AD"/>
    <w:rsid w:val="257E33D4"/>
    <w:rsid w:val="258E5FF2"/>
    <w:rsid w:val="26802C75"/>
    <w:rsid w:val="26B04D50"/>
    <w:rsid w:val="27CF7882"/>
    <w:rsid w:val="2B0F6ADA"/>
    <w:rsid w:val="2B777BF5"/>
    <w:rsid w:val="2BEA6D9D"/>
    <w:rsid w:val="2CAB7988"/>
    <w:rsid w:val="2D21372B"/>
    <w:rsid w:val="2E581269"/>
    <w:rsid w:val="30635E7F"/>
    <w:rsid w:val="328B0A9C"/>
    <w:rsid w:val="33DD3B6A"/>
    <w:rsid w:val="33E40255"/>
    <w:rsid w:val="340567A1"/>
    <w:rsid w:val="342D5ABF"/>
    <w:rsid w:val="348E47AF"/>
    <w:rsid w:val="35241148"/>
    <w:rsid w:val="36A40EF7"/>
    <w:rsid w:val="37B42A85"/>
    <w:rsid w:val="39673821"/>
    <w:rsid w:val="39B52C1D"/>
    <w:rsid w:val="3A4E6AC2"/>
    <w:rsid w:val="3A7143B9"/>
    <w:rsid w:val="3A9E7716"/>
    <w:rsid w:val="3B760FE7"/>
    <w:rsid w:val="3BA862BB"/>
    <w:rsid w:val="3C7F70D3"/>
    <w:rsid w:val="3D185641"/>
    <w:rsid w:val="3D7959A4"/>
    <w:rsid w:val="3F4564BF"/>
    <w:rsid w:val="40207D6C"/>
    <w:rsid w:val="410A1E4D"/>
    <w:rsid w:val="41201B5B"/>
    <w:rsid w:val="420F1B1C"/>
    <w:rsid w:val="42CE2E14"/>
    <w:rsid w:val="44513137"/>
    <w:rsid w:val="44DE6BDA"/>
    <w:rsid w:val="464E0073"/>
    <w:rsid w:val="46F7403E"/>
    <w:rsid w:val="48BE26B3"/>
    <w:rsid w:val="49EF6890"/>
    <w:rsid w:val="4A095871"/>
    <w:rsid w:val="4A606441"/>
    <w:rsid w:val="4AC22FAD"/>
    <w:rsid w:val="4B471525"/>
    <w:rsid w:val="4BA778FB"/>
    <w:rsid w:val="4BA803F5"/>
    <w:rsid w:val="4BE80006"/>
    <w:rsid w:val="4C7D17B0"/>
    <w:rsid w:val="4CD40DEC"/>
    <w:rsid w:val="4DE83ECB"/>
    <w:rsid w:val="4E4F72C0"/>
    <w:rsid w:val="4EC134ED"/>
    <w:rsid w:val="4EF15C0F"/>
    <w:rsid w:val="4F2A423B"/>
    <w:rsid w:val="4F6E131A"/>
    <w:rsid w:val="4FCB57E2"/>
    <w:rsid w:val="4FD97E93"/>
    <w:rsid w:val="509A7825"/>
    <w:rsid w:val="513D0754"/>
    <w:rsid w:val="51C8534D"/>
    <w:rsid w:val="537A771B"/>
    <w:rsid w:val="55F52357"/>
    <w:rsid w:val="562C7F48"/>
    <w:rsid w:val="564818AC"/>
    <w:rsid w:val="56704DE2"/>
    <w:rsid w:val="570163E4"/>
    <w:rsid w:val="57AD4E33"/>
    <w:rsid w:val="58283D9F"/>
    <w:rsid w:val="582A6607"/>
    <w:rsid w:val="59D93F37"/>
    <w:rsid w:val="5A617FEE"/>
    <w:rsid w:val="5ABA5010"/>
    <w:rsid w:val="5B4E7C3D"/>
    <w:rsid w:val="5B8B7320"/>
    <w:rsid w:val="5C5951DB"/>
    <w:rsid w:val="5DF71405"/>
    <w:rsid w:val="5E9F0F69"/>
    <w:rsid w:val="600A0724"/>
    <w:rsid w:val="611D7D4B"/>
    <w:rsid w:val="61472E9B"/>
    <w:rsid w:val="61FF054C"/>
    <w:rsid w:val="63F83DC0"/>
    <w:rsid w:val="65F11D87"/>
    <w:rsid w:val="660C57F8"/>
    <w:rsid w:val="66D61D17"/>
    <w:rsid w:val="674F308E"/>
    <w:rsid w:val="692E33A9"/>
    <w:rsid w:val="696A524D"/>
    <w:rsid w:val="69E8639E"/>
    <w:rsid w:val="6A265896"/>
    <w:rsid w:val="6ABB1D16"/>
    <w:rsid w:val="6B1B2D9D"/>
    <w:rsid w:val="6B237CF3"/>
    <w:rsid w:val="6B9D2F4E"/>
    <w:rsid w:val="6D5B34A6"/>
    <w:rsid w:val="6E2323F2"/>
    <w:rsid w:val="6F6F1D78"/>
    <w:rsid w:val="6F871F4B"/>
    <w:rsid w:val="6F915293"/>
    <w:rsid w:val="70726B0F"/>
    <w:rsid w:val="71B425EB"/>
    <w:rsid w:val="71E57286"/>
    <w:rsid w:val="72DD425C"/>
    <w:rsid w:val="73584BB7"/>
    <w:rsid w:val="75753202"/>
    <w:rsid w:val="76027FE9"/>
    <w:rsid w:val="7778661E"/>
    <w:rsid w:val="78104103"/>
    <w:rsid w:val="791A1E16"/>
    <w:rsid w:val="7B6E5D6D"/>
    <w:rsid w:val="7BC557BD"/>
    <w:rsid w:val="7BDD7A49"/>
    <w:rsid w:val="7CDF0366"/>
    <w:rsid w:val="7D305351"/>
    <w:rsid w:val="7EDF7BF7"/>
    <w:rsid w:val="7F715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仿宋" w:hAnsi="仿宋" w:eastAsia="仿宋" w:cs="仿宋"/>
      <w:sz w:val="22"/>
      <w:szCs w:val="22"/>
      <w:lang w:val="zh-CN" w:eastAsia="zh-CN" w:bidi="zh-CN"/>
    </w:rPr>
  </w:style>
  <w:style w:type="paragraph" w:styleId="2">
    <w:name w:val="heading 1"/>
    <w:basedOn w:val="1"/>
    <w:next w:val="1"/>
    <w:qFormat/>
    <w:uiPriority w:val="9"/>
    <w:pPr>
      <w:ind w:left="180" w:right="341"/>
      <w:jc w:val="center"/>
      <w:outlineLvl w:val="0"/>
    </w:pPr>
    <w:rPr>
      <w:rFonts w:ascii="方正小标宋简体" w:hAnsi="方正小标宋简体" w:eastAsia="方正小标宋简体" w:cs="方正小标宋简体"/>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sz w:val="32"/>
      <w:szCs w:val="32"/>
    </w:rPr>
  </w:style>
  <w:style w:type="paragraph" w:styleId="4">
    <w:name w:val="footer"/>
    <w:basedOn w:val="1"/>
    <w:link w:val="14"/>
    <w:unhideWhenUsed/>
    <w:qFormat/>
    <w:uiPriority w:val="99"/>
    <w:pPr>
      <w:tabs>
        <w:tab w:val="center" w:pos="4153"/>
        <w:tab w:val="right" w:pos="8306"/>
      </w:tabs>
      <w:snapToGrid w:val="0"/>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pPr>
    <w:rPr>
      <w:rFonts w:cs="Times New Roman"/>
      <w:sz w:val="24"/>
    </w:rPr>
  </w:style>
  <w:style w:type="character" w:styleId="9">
    <w:name w:val="Hyperlink"/>
    <w:basedOn w:val="8"/>
    <w:semiHidden/>
    <w:unhideWhenUsed/>
    <w:qFormat/>
    <w:uiPriority w:val="99"/>
    <w:rPr>
      <w:color w:val="0000FF"/>
      <w:u w:val="single"/>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ind w:left="108" w:right="265" w:firstLine="628"/>
    </w:pPr>
  </w:style>
  <w:style w:type="paragraph" w:customStyle="1" w:styleId="12">
    <w:name w:val="Table Paragraph"/>
    <w:basedOn w:val="1"/>
    <w:qFormat/>
    <w:uiPriority w:val="1"/>
  </w:style>
  <w:style w:type="character" w:customStyle="1" w:styleId="13">
    <w:name w:val="页眉 字符"/>
    <w:basedOn w:val="8"/>
    <w:link w:val="5"/>
    <w:qFormat/>
    <w:uiPriority w:val="99"/>
    <w:rPr>
      <w:rFonts w:ascii="仿宋" w:hAnsi="仿宋" w:eastAsia="仿宋" w:cs="仿宋"/>
      <w:sz w:val="18"/>
      <w:szCs w:val="18"/>
      <w:lang w:val="zh-CN" w:eastAsia="zh-CN" w:bidi="zh-CN"/>
    </w:rPr>
  </w:style>
  <w:style w:type="character" w:customStyle="1" w:styleId="14">
    <w:name w:val="页脚 字符"/>
    <w:basedOn w:val="8"/>
    <w:link w:val="4"/>
    <w:qFormat/>
    <w:uiPriority w:val="99"/>
    <w:rPr>
      <w:rFonts w:ascii="仿宋" w:hAnsi="仿宋" w:eastAsia="仿宋" w:cs="仿宋"/>
      <w:sz w:val="18"/>
      <w:szCs w:val="18"/>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EC98BE-F071-4339-9DB4-CFEA2FC5FAF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2482</Words>
  <Characters>2674</Characters>
  <Lines>17</Lines>
  <Paragraphs>4</Paragraphs>
  <TotalTime>2</TotalTime>
  <ScaleCrop>false</ScaleCrop>
  <LinksUpToDate>false</LinksUpToDate>
  <CharactersWithSpaces>2699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2022-11-03T14:12:00Z</dcterms:created>
  <dc:creator>Administrator</dc:creator>
  <cp:lastModifiedBy>小静</cp:lastModifiedBy>
  <cp:lastPrinted>2022-10-10T01:42:00Z</cp:lastPrinted>
  <dcterms:modified xsi:type="dcterms:W3CDTF">2022-12-16T02:28:04Z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2020-11-26T00:00:00Z</vt:filetime>
  </property>
  <property fmtid="{D5CDD505-2E9C-101B-9397-08002B2CF9AE}" pid="3" name="Creator">
    <vt:lpwstr>WPS 文字</vt:lpwstr>
  </property>
  <property fmtid="{D5CDD505-2E9C-101B-9397-08002B2CF9AE}" pid="4" name="LastSaved">
    <vt:filetime>2021-11-05T00:00:00Z</vt:filetime>
  </property>
  <property fmtid="{D5CDD505-2E9C-101B-9397-08002B2CF9AE}" pid="5" name="KSOProductBuildVer">
    <vt:lpwstr>2052-11.1.0.12980</vt:lpwstr>
  </property>
  <property fmtid="{D5CDD505-2E9C-101B-9397-08002B2CF9AE}" pid="6" name="ICV">
    <vt:lpwstr>9A978CE459B74ADF98BC6D679E402A80</vt:lpwstr>
  </property>
</Properties>
</file>